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5000" w:type="pct"/>
        <w:jc w:val="center"/>
        <w:shd w:val="clear" w:color="auto" w:fill="FFFFFF"/>
        <w:tblCellMar>
          <w:top w:w="15" w:type="dxa"/>
          <w:left w:w="15" w:type="dxa"/>
          <w:bottom w:w="15" w:type="dxa"/>
          <w:right w:w="15" w:type="dxa"/>
        </w:tblCellMar>
        <w:tblLook w:val="04A0" w:firstRow="1" w:lastRow="0" w:firstColumn="1" w:lastColumn="0" w:noHBand="0" w:noVBand="1"/>
      </w:tblPr>
      <w:tblGrid>
        <w:gridCol w:w="9072"/>
      </w:tblGrid>
      <w:tr w:rsidR="007839C6" w:rsidRPr="007839C6" w14:paraId="31BEDC53" w14:textId="77777777" w:rsidTr="007839C6">
        <w:trPr>
          <w:trHeight w:val="375"/>
          <w:jc w:val="center"/>
        </w:trPr>
        <w:tc>
          <w:tcPr>
            <w:tcW w:w="0" w:type="auto"/>
            <w:shd w:val="clear" w:color="auto" w:fill="FFFFFF"/>
            <w:tcMar>
              <w:top w:w="300" w:type="dxa"/>
              <w:left w:w="300" w:type="dxa"/>
              <w:bottom w:w="15" w:type="dxa"/>
              <w:right w:w="300" w:type="dxa"/>
            </w:tcMar>
            <w:vAlign w:val="center"/>
            <w:hideMark/>
          </w:tcPr>
          <w:p w14:paraId="7A33D6A8" w14:textId="4B5D6A4C" w:rsidR="007839C6" w:rsidRPr="007839C6" w:rsidRDefault="007839C6" w:rsidP="007839C6">
            <w:pPr>
              <w:spacing w:after="0" w:line="240" w:lineRule="auto"/>
              <w:rPr>
                <w:rFonts w:ascii="Arial" w:eastAsia="Times New Roman" w:hAnsi="Arial" w:cs="Arial"/>
                <w:b/>
                <w:bCs/>
                <w:color w:val="E8591D"/>
                <w:sz w:val="30"/>
                <w:szCs w:val="30"/>
                <w:lang w:eastAsia="fr-FR"/>
              </w:rPr>
            </w:pPr>
            <w:r w:rsidRPr="007839C6">
              <w:rPr>
                <w:rFonts w:ascii="Arial" w:eastAsia="Times New Roman" w:hAnsi="Arial" w:cs="Arial"/>
                <w:b/>
                <w:bCs/>
                <w:color w:val="E8591D"/>
                <w:sz w:val="30"/>
                <w:szCs w:val="30"/>
                <w:lang w:eastAsia="fr-FR"/>
              </w:rPr>
              <w:t>Prime de reconnaissance projet "Belle" et retour sur la signature des négociations annuelles ob</w:t>
            </w:r>
            <w:r>
              <w:rPr>
                <w:rFonts w:ascii="Arial" w:eastAsia="Times New Roman" w:hAnsi="Arial" w:cs="Arial"/>
                <w:b/>
                <w:bCs/>
                <w:color w:val="E8591D"/>
                <w:sz w:val="30"/>
                <w:szCs w:val="30"/>
                <w:lang w:eastAsia="fr-FR"/>
              </w:rPr>
              <w:t>ligatoires sur les salaires périmètre HBCE</w:t>
            </w:r>
          </w:p>
        </w:tc>
      </w:tr>
      <w:tr w:rsidR="007839C6" w:rsidRPr="007839C6" w14:paraId="4D6E3ABE" w14:textId="77777777" w:rsidTr="007839C6">
        <w:trPr>
          <w:trHeight w:val="225"/>
          <w:jc w:val="center"/>
        </w:trPr>
        <w:tc>
          <w:tcPr>
            <w:tcW w:w="0" w:type="auto"/>
            <w:shd w:val="clear" w:color="auto" w:fill="FFFFFF"/>
            <w:vAlign w:val="center"/>
            <w:hideMark/>
          </w:tcPr>
          <w:p w14:paraId="02172835" w14:textId="77777777" w:rsidR="007839C6" w:rsidRPr="007839C6" w:rsidRDefault="007839C6" w:rsidP="007839C6">
            <w:pPr>
              <w:spacing w:after="0" w:line="240" w:lineRule="auto"/>
              <w:rPr>
                <w:rFonts w:ascii="Arial" w:eastAsia="Times New Roman" w:hAnsi="Arial" w:cs="Arial"/>
                <w:sz w:val="24"/>
                <w:szCs w:val="24"/>
                <w:lang w:eastAsia="fr-FR"/>
              </w:rPr>
            </w:pPr>
            <w:r w:rsidRPr="007839C6">
              <w:rPr>
                <w:rFonts w:ascii="Arial" w:eastAsia="Times New Roman" w:hAnsi="Arial" w:cs="Arial"/>
                <w:sz w:val="24"/>
                <w:szCs w:val="24"/>
                <w:lang w:eastAsia="fr-FR"/>
              </w:rPr>
              <w:t> </w:t>
            </w:r>
          </w:p>
        </w:tc>
      </w:tr>
      <w:tr w:rsidR="007839C6" w:rsidRPr="007839C6" w14:paraId="5C21D98B" w14:textId="77777777" w:rsidTr="007839C6">
        <w:trPr>
          <w:jc w:val="center"/>
        </w:trPr>
        <w:tc>
          <w:tcPr>
            <w:tcW w:w="0" w:type="auto"/>
            <w:shd w:val="clear" w:color="auto" w:fill="FFFFFF"/>
            <w:tcMar>
              <w:top w:w="15" w:type="dxa"/>
              <w:left w:w="300" w:type="dxa"/>
              <w:bottom w:w="15" w:type="dxa"/>
              <w:right w:w="300" w:type="dxa"/>
            </w:tcMar>
            <w:hideMark/>
          </w:tcPr>
          <w:p w14:paraId="18D05B6D" w14:textId="74009F02" w:rsidR="007839C6" w:rsidRPr="007839C6" w:rsidRDefault="007839C6" w:rsidP="007839C6">
            <w:pPr>
              <w:spacing w:after="0" w:line="315" w:lineRule="atLeast"/>
              <w:rPr>
                <w:rFonts w:ascii="Arial" w:eastAsia="Times New Roman" w:hAnsi="Arial" w:cs="Arial"/>
                <w:color w:val="333333"/>
                <w:sz w:val="21"/>
                <w:szCs w:val="21"/>
                <w:lang w:eastAsia="fr-FR"/>
              </w:rPr>
            </w:pPr>
            <w:r w:rsidRPr="007839C6">
              <w:rPr>
                <w:rFonts w:ascii="Segoe UI Symbol" w:eastAsia="Times New Roman" w:hAnsi="Segoe UI Symbol" w:cs="Segoe UI Symbol"/>
                <w:color w:val="333333"/>
                <w:sz w:val="21"/>
                <w:szCs w:val="21"/>
                <w:lang w:eastAsia="fr-FR"/>
              </w:rPr>
              <w:t>✔</w:t>
            </w:r>
            <w:r w:rsidRPr="007839C6">
              <w:rPr>
                <w:rFonts w:ascii="Arial" w:eastAsia="Times New Roman" w:hAnsi="Arial" w:cs="Arial"/>
                <w:color w:val="333333"/>
                <w:sz w:val="21"/>
                <w:szCs w:val="21"/>
                <w:lang w:eastAsia="fr-FR"/>
              </w:rPr>
              <w:t> </w:t>
            </w:r>
            <w:r w:rsidRPr="007839C6">
              <w:rPr>
                <w:rFonts w:ascii="Arial" w:eastAsia="Times New Roman" w:hAnsi="Arial" w:cs="Arial"/>
                <w:b/>
                <w:bCs/>
                <w:color w:val="333333"/>
                <w:sz w:val="21"/>
                <w:szCs w:val="21"/>
                <w:lang w:eastAsia="fr-FR"/>
              </w:rPr>
              <w:t>Prime Projet Belle</w:t>
            </w:r>
            <w:r w:rsidRPr="007839C6">
              <w:rPr>
                <w:rFonts w:ascii="Arial" w:eastAsia="Times New Roman" w:hAnsi="Arial" w:cs="Arial"/>
                <w:color w:val="333333"/>
                <w:sz w:val="21"/>
                <w:szCs w:val="21"/>
                <w:lang w:eastAsia="fr-FR"/>
              </w:rPr>
              <w:t> :</w:t>
            </w:r>
            <w:r w:rsidRPr="007839C6">
              <w:rPr>
                <w:rFonts w:ascii="Arial" w:eastAsia="Times New Roman" w:hAnsi="Arial" w:cs="Arial"/>
                <w:color w:val="333333"/>
                <w:sz w:val="21"/>
                <w:szCs w:val="21"/>
                <w:lang w:eastAsia="fr-FR"/>
              </w:rPr>
              <w:br/>
            </w:r>
            <w:r w:rsidRPr="007839C6">
              <w:rPr>
                <w:rFonts w:ascii="Arial" w:eastAsia="Times New Roman" w:hAnsi="Arial" w:cs="Arial"/>
                <w:color w:val="333333"/>
                <w:sz w:val="21"/>
                <w:szCs w:val="21"/>
                <w:lang w:eastAsia="fr-FR"/>
              </w:rPr>
              <w:br/>
              <w:t>C'est aux forceps que l'intersyndicale a enfin obtenu de la direction un retour positif sur cette demande pour tous les salariés transférés et pour les salariés de DBS et des Fonctions Support qui auront contribué de façon significative au projet Belle (appréciation de leur hiérarchie).</w:t>
            </w:r>
            <w:r w:rsidRPr="007839C6">
              <w:rPr>
                <w:rFonts w:ascii="Arial" w:eastAsia="Times New Roman" w:hAnsi="Arial" w:cs="Arial"/>
                <w:color w:val="333333"/>
                <w:sz w:val="21"/>
                <w:szCs w:val="21"/>
                <w:lang w:eastAsia="fr-FR"/>
              </w:rPr>
              <w:br/>
            </w:r>
            <w:r w:rsidRPr="007839C6">
              <w:rPr>
                <w:rFonts w:ascii="Arial" w:eastAsia="Times New Roman" w:hAnsi="Arial" w:cs="Arial"/>
                <w:color w:val="333333"/>
                <w:sz w:val="21"/>
                <w:szCs w:val="21"/>
                <w:lang w:eastAsia="fr-FR"/>
              </w:rPr>
              <w:br/>
              <w:t>Le montant est de 2000€ bruts et sera versé par HBCE sur la paie de janvier 2024</w:t>
            </w:r>
            <w:r w:rsidRPr="007839C6">
              <w:rPr>
                <w:rFonts w:ascii="Arial" w:eastAsia="Times New Roman" w:hAnsi="Arial" w:cs="Arial"/>
                <w:color w:val="333333"/>
                <w:sz w:val="21"/>
                <w:szCs w:val="21"/>
                <w:lang w:eastAsia="fr-FR"/>
              </w:rPr>
              <w:br/>
            </w:r>
            <w:r w:rsidRPr="007839C6">
              <w:rPr>
                <w:rFonts w:ascii="Arial" w:eastAsia="Times New Roman" w:hAnsi="Arial" w:cs="Arial"/>
                <w:color w:val="333333"/>
                <w:sz w:val="21"/>
                <w:szCs w:val="21"/>
                <w:lang w:eastAsia="fr-FR"/>
              </w:rPr>
              <w:br/>
              <w:t>Ce versement est soumis à 3 conditions :</w:t>
            </w:r>
            <w:r w:rsidRPr="007839C6">
              <w:rPr>
                <w:rFonts w:ascii="Arial" w:eastAsia="Times New Roman" w:hAnsi="Arial" w:cs="Arial"/>
                <w:color w:val="333333"/>
                <w:sz w:val="21"/>
                <w:szCs w:val="21"/>
                <w:lang w:eastAsia="fr-FR"/>
              </w:rPr>
              <w:br/>
            </w:r>
            <w:r w:rsidRPr="007839C6">
              <w:rPr>
                <w:rFonts w:ascii="Arial" w:eastAsia="Times New Roman" w:hAnsi="Arial" w:cs="Arial"/>
                <w:color w:val="333333"/>
                <w:sz w:val="21"/>
                <w:szCs w:val="21"/>
                <w:lang w:eastAsia="fr-FR"/>
              </w:rPr>
              <w:br/>
              <w:t>1.     Que la cession se fasse</w:t>
            </w:r>
            <w:r w:rsidRPr="007839C6">
              <w:rPr>
                <w:rFonts w:ascii="Arial" w:eastAsia="Times New Roman" w:hAnsi="Arial" w:cs="Arial"/>
                <w:color w:val="333333"/>
                <w:sz w:val="21"/>
                <w:szCs w:val="21"/>
                <w:lang w:eastAsia="fr-FR"/>
              </w:rPr>
              <w:br/>
            </w:r>
            <w:r w:rsidRPr="007839C6">
              <w:rPr>
                <w:rFonts w:ascii="Arial" w:eastAsia="Times New Roman" w:hAnsi="Arial" w:cs="Arial"/>
                <w:color w:val="333333"/>
                <w:sz w:val="21"/>
                <w:szCs w:val="21"/>
                <w:lang w:eastAsia="fr-FR"/>
              </w:rPr>
              <w:br/>
              <w:t xml:space="preserve">2.     </w:t>
            </w:r>
            <w:r w:rsidR="009A0829" w:rsidRPr="007839C6">
              <w:rPr>
                <w:rFonts w:ascii="Arial" w:eastAsia="Times New Roman" w:hAnsi="Arial" w:cs="Arial"/>
                <w:color w:val="333333"/>
                <w:sz w:val="21"/>
                <w:szCs w:val="21"/>
                <w:lang w:eastAsia="fr-FR"/>
              </w:rPr>
              <w:t>Être</w:t>
            </w:r>
            <w:r w:rsidRPr="007839C6">
              <w:rPr>
                <w:rFonts w:ascii="Arial" w:eastAsia="Times New Roman" w:hAnsi="Arial" w:cs="Arial"/>
                <w:color w:val="333333"/>
                <w:sz w:val="21"/>
                <w:szCs w:val="21"/>
                <w:lang w:eastAsia="fr-FR"/>
              </w:rPr>
              <w:t xml:space="preserve"> présent au 01/01/2024</w:t>
            </w:r>
            <w:r w:rsidRPr="007839C6">
              <w:rPr>
                <w:rFonts w:ascii="Arial" w:eastAsia="Times New Roman" w:hAnsi="Arial" w:cs="Arial"/>
                <w:color w:val="333333"/>
                <w:sz w:val="21"/>
                <w:szCs w:val="21"/>
                <w:lang w:eastAsia="fr-FR"/>
              </w:rPr>
              <w:br/>
            </w:r>
            <w:r w:rsidRPr="007839C6">
              <w:rPr>
                <w:rFonts w:ascii="Arial" w:eastAsia="Times New Roman" w:hAnsi="Arial" w:cs="Arial"/>
                <w:color w:val="333333"/>
                <w:sz w:val="21"/>
                <w:szCs w:val="21"/>
                <w:lang w:eastAsia="fr-FR"/>
              </w:rPr>
              <w:br/>
              <w:t>3.     Ancienneté minimum de 6 mois</w:t>
            </w:r>
            <w:r w:rsidRPr="007839C6">
              <w:rPr>
                <w:rFonts w:ascii="Arial" w:eastAsia="Times New Roman" w:hAnsi="Arial" w:cs="Arial"/>
                <w:color w:val="333333"/>
                <w:sz w:val="21"/>
                <w:szCs w:val="21"/>
                <w:lang w:eastAsia="fr-FR"/>
              </w:rPr>
              <w:br/>
            </w:r>
            <w:r w:rsidRPr="007839C6">
              <w:rPr>
                <w:rFonts w:ascii="Arial" w:eastAsia="Times New Roman" w:hAnsi="Arial" w:cs="Arial"/>
                <w:color w:val="333333"/>
                <w:sz w:val="21"/>
                <w:szCs w:val="21"/>
                <w:lang w:eastAsia="fr-FR"/>
              </w:rPr>
              <w:br/>
              <w:t> </w:t>
            </w:r>
            <w:r w:rsidRPr="007839C6">
              <w:rPr>
                <w:rFonts w:ascii="Arial" w:eastAsia="Times New Roman" w:hAnsi="Arial" w:cs="Arial"/>
                <w:color w:val="333333"/>
                <w:sz w:val="21"/>
                <w:szCs w:val="21"/>
                <w:lang w:eastAsia="fr-FR"/>
              </w:rPr>
              <w:br/>
            </w:r>
            <w:r w:rsidRPr="007839C6">
              <w:rPr>
                <w:rFonts w:ascii="Segoe UI Emoji" w:eastAsia="Times New Roman" w:hAnsi="Segoe UI Emoji" w:cs="Segoe UI Emoji"/>
                <w:color w:val="333333"/>
                <w:sz w:val="21"/>
                <w:szCs w:val="21"/>
                <w:lang w:eastAsia="fr-FR"/>
              </w:rPr>
              <w:t>👀</w:t>
            </w:r>
            <w:r w:rsidRPr="007839C6">
              <w:rPr>
                <w:rFonts w:ascii="Arial" w:eastAsia="Times New Roman" w:hAnsi="Arial" w:cs="Arial"/>
                <w:color w:val="333333"/>
                <w:sz w:val="21"/>
                <w:szCs w:val="21"/>
                <w:lang w:eastAsia="fr-FR"/>
              </w:rPr>
              <w:t xml:space="preserve"> On refait l'histoire :</w:t>
            </w:r>
            <w:r w:rsidRPr="007839C6">
              <w:rPr>
                <w:rFonts w:ascii="Arial" w:eastAsia="Times New Roman" w:hAnsi="Arial" w:cs="Arial"/>
                <w:color w:val="333333"/>
                <w:sz w:val="21"/>
                <w:szCs w:val="21"/>
                <w:lang w:eastAsia="fr-FR"/>
              </w:rPr>
              <w:br/>
            </w:r>
            <w:r w:rsidRPr="007839C6">
              <w:rPr>
                <w:rFonts w:ascii="Arial" w:eastAsia="Times New Roman" w:hAnsi="Arial" w:cs="Arial"/>
                <w:color w:val="333333"/>
                <w:sz w:val="21"/>
                <w:szCs w:val="21"/>
                <w:lang w:eastAsia="fr-FR"/>
              </w:rPr>
              <w:br/>
              <w:t>Pour rappel, dans le cadre souhaité par HSBC de la vente de son réseau de distribution à la Banque des Caraïbes via MMG et via le fonds d'investissement CERBERUS, le projet d'accord de transition tel que présenté en octobre 2021 prévoyait au niveau du statut social des salariés transférés :</w:t>
            </w:r>
            <w:r w:rsidRPr="007839C6">
              <w:rPr>
                <w:rFonts w:ascii="Arial" w:eastAsia="Times New Roman" w:hAnsi="Arial" w:cs="Arial"/>
                <w:color w:val="333333"/>
                <w:sz w:val="21"/>
                <w:szCs w:val="21"/>
                <w:lang w:eastAsia="fr-FR"/>
              </w:rPr>
              <w:br/>
            </w:r>
            <w:r w:rsidRPr="007839C6">
              <w:rPr>
                <w:rFonts w:ascii="Arial" w:eastAsia="Times New Roman" w:hAnsi="Arial" w:cs="Arial"/>
                <w:color w:val="333333"/>
                <w:sz w:val="21"/>
                <w:szCs w:val="21"/>
                <w:lang w:eastAsia="fr-FR"/>
              </w:rPr>
              <w:br/>
              <w:t>-      Une garantie d'emploi de 12 mois,</w:t>
            </w:r>
            <w:r w:rsidRPr="007839C6">
              <w:rPr>
                <w:rFonts w:ascii="Arial" w:eastAsia="Times New Roman" w:hAnsi="Arial" w:cs="Arial"/>
                <w:color w:val="333333"/>
                <w:sz w:val="21"/>
                <w:szCs w:val="21"/>
                <w:lang w:eastAsia="fr-FR"/>
              </w:rPr>
              <w:br/>
            </w:r>
            <w:r w:rsidRPr="007839C6">
              <w:rPr>
                <w:rFonts w:ascii="Arial" w:eastAsia="Times New Roman" w:hAnsi="Arial" w:cs="Arial"/>
                <w:color w:val="333333"/>
                <w:sz w:val="21"/>
                <w:szCs w:val="21"/>
                <w:lang w:eastAsia="fr-FR"/>
              </w:rPr>
              <w:br/>
              <w:t>-      Une durée de validité des accords en vigueur de 15 mois</w:t>
            </w:r>
            <w:r w:rsidRPr="007839C6">
              <w:rPr>
                <w:rFonts w:ascii="Arial" w:eastAsia="Times New Roman" w:hAnsi="Arial" w:cs="Arial"/>
                <w:color w:val="333333"/>
                <w:sz w:val="21"/>
                <w:szCs w:val="21"/>
                <w:lang w:eastAsia="fr-FR"/>
              </w:rPr>
              <w:br/>
            </w:r>
            <w:r w:rsidRPr="007839C6">
              <w:rPr>
                <w:rFonts w:ascii="Arial" w:eastAsia="Times New Roman" w:hAnsi="Arial" w:cs="Arial"/>
                <w:color w:val="333333"/>
                <w:sz w:val="21"/>
                <w:szCs w:val="21"/>
                <w:lang w:eastAsia="fr-FR"/>
              </w:rPr>
              <w:br/>
              <w:t>-      Un engagement de renégocier en amont les accords frais de santé, prévoyance, et retraite supplémentaire</w:t>
            </w:r>
            <w:r w:rsidRPr="007839C6">
              <w:rPr>
                <w:rFonts w:ascii="Arial" w:eastAsia="Times New Roman" w:hAnsi="Arial" w:cs="Arial"/>
                <w:color w:val="333333"/>
                <w:sz w:val="21"/>
                <w:szCs w:val="21"/>
                <w:lang w:eastAsia="fr-FR"/>
              </w:rPr>
              <w:br/>
            </w:r>
            <w:r w:rsidRPr="007839C6">
              <w:rPr>
                <w:rFonts w:ascii="Arial" w:eastAsia="Times New Roman" w:hAnsi="Arial" w:cs="Arial"/>
                <w:color w:val="333333"/>
                <w:sz w:val="21"/>
                <w:szCs w:val="21"/>
                <w:lang w:eastAsia="fr-FR"/>
              </w:rPr>
              <w:br/>
              <w:t>La seule concession obtenue est la prorogation des accords sur 30 mois, mais ce n'est qu'un maximum. Nul doute que ces accords seront renégociés bien en amont sous forme de « package » dixit notre futur employeur (nos interlocuteurs chez MMG) ! Et ce dans quelles conditions ?</w:t>
            </w:r>
            <w:r w:rsidRPr="007839C6">
              <w:rPr>
                <w:rFonts w:ascii="Arial" w:eastAsia="Times New Roman" w:hAnsi="Arial" w:cs="Arial"/>
                <w:color w:val="333333"/>
                <w:sz w:val="21"/>
                <w:szCs w:val="21"/>
                <w:lang w:eastAsia="fr-FR"/>
              </w:rPr>
              <w:br/>
            </w:r>
            <w:r w:rsidRPr="007839C6">
              <w:rPr>
                <w:rFonts w:ascii="Arial" w:eastAsia="Times New Roman" w:hAnsi="Arial" w:cs="Arial"/>
                <w:color w:val="333333"/>
                <w:sz w:val="21"/>
                <w:szCs w:val="21"/>
                <w:lang w:eastAsia="fr-FR"/>
              </w:rPr>
              <w:br/>
              <w:t>Largement insuffisant pour la CFDT !!!</w:t>
            </w:r>
            <w:r w:rsidRPr="007839C6">
              <w:rPr>
                <w:rFonts w:ascii="Arial" w:eastAsia="Times New Roman" w:hAnsi="Arial" w:cs="Arial"/>
                <w:color w:val="333333"/>
                <w:sz w:val="21"/>
                <w:szCs w:val="21"/>
                <w:lang w:eastAsia="fr-FR"/>
              </w:rPr>
              <w:br/>
            </w:r>
            <w:r w:rsidRPr="007839C6">
              <w:rPr>
                <w:rFonts w:ascii="Arial" w:eastAsia="Times New Roman" w:hAnsi="Arial" w:cs="Arial"/>
                <w:color w:val="333333"/>
                <w:sz w:val="21"/>
                <w:szCs w:val="21"/>
                <w:lang w:eastAsia="fr-FR"/>
              </w:rPr>
              <w:br/>
            </w:r>
            <w:r w:rsidRPr="007839C6">
              <w:rPr>
                <w:rFonts w:ascii="Arial" w:eastAsia="Times New Roman" w:hAnsi="Arial" w:cs="Arial"/>
                <w:color w:val="333333"/>
                <w:sz w:val="21"/>
                <w:szCs w:val="21"/>
                <w:lang w:eastAsia="fr-FR"/>
              </w:rPr>
              <w:lastRenderedPageBreak/>
              <w:t>La CFDT n'a pas signé cet accord…</w:t>
            </w:r>
            <w:r w:rsidRPr="007839C6">
              <w:rPr>
                <w:rFonts w:ascii="Arial" w:eastAsia="Times New Roman" w:hAnsi="Arial" w:cs="Arial"/>
                <w:color w:val="333333"/>
                <w:sz w:val="21"/>
                <w:szCs w:val="21"/>
                <w:lang w:eastAsia="fr-FR"/>
              </w:rPr>
              <w:br/>
            </w:r>
            <w:r w:rsidRPr="007839C6">
              <w:rPr>
                <w:rFonts w:ascii="Arial" w:eastAsia="Times New Roman" w:hAnsi="Arial" w:cs="Arial"/>
                <w:color w:val="333333"/>
                <w:sz w:val="21"/>
                <w:szCs w:val="21"/>
                <w:lang w:eastAsia="fr-FR"/>
              </w:rPr>
              <w:br/>
              <w:t>En effet la CFDT demandait :</w:t>
            </w:r>
            <w:r w:rsidRPr="007839C6">
              <w:rPr>
                <w:rFonts w:ascii="Arial" w:eastAsia="Times New Roman" w:hAnsi="Arial" w:cs="Arial"/>
                <w:color w:val="333333"/>
                <w:sz w:val="21"/>
                <w:szCs w:val="21"/>
                <w:lang w:eastAsia="fr-FR"/>
              </w:rPr>
              <w:br/>
            </w:r>
            <w:r w:rsidRPr="007839C6">
              <w:rPr>
                <w:rFonts w:ascii="Arial" w:eastAsia="Times New Roman" w:hAnsi="Arial" w:cs="Arial"/>
                <w:color w:val="333333"/>
                <w:sz w:val="21"/>
                <w:szCs w:val="21"/>
                <w:lang w:eastAsia="fr-FR"/>
              </w:rPr>
              <w:br/>
              <w:t>-      Qu'une enveloppe financière digne de ce nom, et au moins équivalente à celle octroyée pour le PSE GBM ou pour les RCC CMB, soit réservée aux salariés qui transfèrent dans le cas où un projet de réorganisation venait à nous être présenté</w:t>
            </w:r>
            <w:r w:rsidRPr="007839C6">
              <w:rPr>
                <w:rFonts w:ascii="Arial" w:eastAsia="Times New Roman" w:hAnsi="Arial" w:cs="Arial"/>
                <w:color w:val="333333"/>
                <w:sz w:val="21"/>
                <w:szCs w:val="21"/>
                <w:lang w:eastAsia="fr-FR"/>
              </w:rPr>
              <w:br/>
            </w:r>
            <w:r w:rsidRPr="007839C6">
              <w:rPr>
                <w:rFonts w:ascii="Arial" w:eastAsia="Times New Roman" w:hAnsi="Arial" w:cs="Arial"/>
                <w:color w:val="333333"/>
                <w:sz w:val="21"/>
                <w:szCs w:val="21"/>
                <w:lang w:eastAsia="fr-FR"/>
              </w:rPr>
              <w:br/>
              <w:t xml:space="preserve">-      Une prime de transfert significative ! (Pour info la prime de transfert Barclays chez </w:t>
            </w:r>
            <w:proofErr w:type="spellStart"/>
            <w:r w:rsidRPr="007839C6">
              <w:rPr>
                <w:rFonts w:ascii="Arial" w:eastAsia="Times New Roman" w:hAnsi="Arial" w:cs="Arial"/>
                <w:color w:val="333333"/>
                <w:sz w:val="21"/>
                <w:szCs w:val="21"/>
                <w:lang w:eastAsia="fr-FR"/>
              </w:rPr>
              <w:t>Milleis</w:t>
            </w:r>
            <w:proofErr w:type="spellEnd"/>
            <w:r w:rsidRPr="007839C6">
              <w:rPr>
                <w:rFonts w:ascii="Arial" w:eastAsia="Times New Roman" w:hAnsi="Arial" w:cs="Arial"/>
                <w:color w:val="333333"/>
                <w:sz w:val="21"/>
                <w:szCs w:val="21"/>
                <w:lang w:eastAsia="fr-FR"/>
              </w:rPr>
              <w:t xml:space="preserve"> a été de 6000 €</w:t>
            </w:r>
            <w:r w:rsidRPr="007839C6">
              <w:rPr>
                <w:rFonts w:ascii="Arial" w:eastAsia="Times New Roman" w:hAnsi="Arial" w:cs="Arial"/>
                <w:color w:val="333333"/>
                <w:sz w:val="21"/>
                <w:szCs w:val="21"/>
                <w:lang w:eastAsia="fr-FR"/>
              </w:rPr>
              <w:br/>
            </w:r>
            <w:r w:rsidRPr="007839C6">
              <w:rPr>
                <w:rFonts w:ascii="Arial" w:eastAsia="Times New Roman" w:hAnsi="Arial" w:cs="Arial"/>
                <w:color w:val="333333"/>
                <w:sz w:val="21"/>
                <w:szCs w:val="21"/>
                <w:lang w:eastAsia="fr-FR"/>
              </w:rPr>
              <w:br/>
              <w:t xml:space="preserve">Au vu des négociations qui se sont déjà déroulées avec la direction de MMG concernant la mutuelle, la prévoyance, et le </w:t>
            </w:r>
            <w:proofErr w:type="spellStart"/>
            <w:r w:rsidRPr="007839C6">
              <w:rPr>
                <w:rFonts w:ascii="Arial" w:eastAsia="Times New Roman" w:hAnsi="Arial" w:cs="Arial"/>
                <w:color w:val="333333"/>
                <w:sz w:val="21"/>
                <w:szCs w:val="21"/>
                <w:lang w:eastAsia="fr-FR"/>
              </w:rPr>
              <w:t>Pero</w:t>
            </w:r>
            <w:proofErr w:type="spellEnd"/>
            <w:r w:rsidRPr="007839C6">
              <w:rPr>
                <w:rFonts w:ascii="Arial" w:eastAsia="Times New Roman" w:hAnsi="Arial" w:cs="Arial"/>
                <w:color w:val="333333"/>
                <w:sz w:val="21"/>
                <w:szCs w:val="21"/>
                <w:lang w:eastAsia="fr-FR"/>
              </w:rPr>
              <w:t>, et son lot de surprises (groupe fermé, …) la CFDT est confortée dans ses choix et sa décision.</w:t>
            </w:r>
            <w:r w:rsidRPr="007839C6">
              <w:rPr>
                <w:rFonts w:ascii="Arial" w:eastAsia="Times New Roman" w:hAnsi="Arial" w:cs="Arial"/>
                <w:color w:val="333333"/>
                <w:sz w:val="21"/>
                <w:szCs w:val="21"/>
                <w:lang w:eastAsia="fr-FR"/>
              </w:rPr>
              <w:br/>
            </w:r>
            <w:r w:rsidRPr="007839C6">
              <w:rPr>
                <w:rFonts w:ascii="Arial" w:eastAsia="Times New Roman" w:hAnsi="Arial" w:cs="Arial"/>
                <w:color w:val="333333"/>
                <w:sz w:val="21"/>
                <w:szCs w:val="21"/>
                <w:lang w:eastAsia="fr-FR"/>
              </w:rPr>
              <w:br/>
            </w:r>
            <w:r w:rsidRPr="007839C6">
              <w:rPr>
                <w:rFonts w:ascii="Arial" w:eastAsia="Times New Roman" w:hAnsi="Arial" w:cs="Arial"/>
                <w:b/>
                <w:bCs/>
                <w:color w:val="333333"/>
                <w:sz w:val="21"/>
                <w:szCs w:val="21"/>
                <w:lang w:eastAsia="fr-FR"/>
              </w:rPr>
              <w:t>Négociations annuelles obligatoires sur les salaires sur le périmètre HBCE (pour les salariés ne transférant pas)</w:t>
            </w:r>
            <w:r w:rsidRPr="007839C6">
              <w:rPr>
                <w:rFonts w:ascii="Arial" w:eastAsia="Times New Roman" w:hAnsi="Arial" w:cs="Arial"/>
                <w:color w:val="333333"/>
                <w:sz w:val="21"/>
                <w:szCs w:val="21"/>
                <w:lang w:eastAsia="fr-FR"/>
              </w:rPr>
              <w:br/>
            </w:r>
            <w:r w:rsidRPr="007839C6">
              <w:rPr>
                <w:rFonts w:ascii="Arial" w:eastAsia="Times New Roman" w:hAnsi="Arial" w:cs="Arial"/>
                <w:color w:val="333333"/>
                <w:sz w:val="21"/>
                <w:szCs w:val="21"/>
                <w:lang w:eastAsia="fr-FR"/>
              </w:rPr>
              <w:br/>
              <w:t>La CFDT a signé ! 3 mesures </w:t>
            </w:r>
          </w:p>
          <w:p w14:paraId="0C502B42" w14:textId="77777777" w:rsidR="007839C6" w:rsidRPr="007839C6" w:rsidRDefault="007839C6" w:rsidP="007839C6">
            <w:pPr>
              <w:numPr>
                <w:ilvl w:val="0"/>
                <w:numId w:val="1"/>
              </w:numPr>
              <w:spacing w:before="100" w:beforeAutospacing="1" w:after="100" w:afterAutospacing="1" w:line="315" w:lineRule="atLeast"/>
              <w:ind w:left="1020"/>
              <w:rPr>
                <w:rFonts w:ascii="Arial" w:eastAsia="Times New Roman" w:hAnsi="Arial" w:cs="Arial"/>
                <w:color w:val="333333"/>
                <w:sz w:val="21"/>
                <w:szCs w:val="21"/>
                <w:lang w:eastAsia="fr-FR"/>
              </w:rPr>
            </w:pPr>
            <w:r w:rsidRPr="007839C6">
              <w:rPr>
                <w:rFonts w:ascii="Arial" w:eastAsia="Times New Roman" w:hAnsi="Arial" w:cs="Arial"/>
                <w:color w:val="333333"/>
                <w:sz w:val="21"/>
                <w:szCs w:val="21"/>
                <w:lang w:eastAsia="fr-FR"/>
              </w:rPr>
              <w:t>Augmentation de 3% pour tous les salariés dont le salaire brut est inférieur ou égal à 50 000€ avec un plancher de 1000€ et augmentation de 2% pour tous les salariés dont le salaire brut est compris entre 50 001€ et 80 000€</w:t>
            </w:r>
          </w:p>
          <w:p w14:paraId="7A984177" w14:textId="77777777" w:rsidR="007839C6" w:rsidRPr="007839C6" w:rsidRDefault="007839C6" w:rsidP="007839C6">
            <w:pPr>
              <w:numPr>
                <w:ilvl w:val="0"/>
                <w:numId w:val="1"/>
              </w:numPr>
              <w:spacing w:before="100" w:beforeAutospacing="1" w:after="100" w:afterAutospacing="1" w:line="315" w:lineRule="atLeast"/>
              <w:ind w:left="1020"/>
              <w:rPr>
                <w:rFonts w:ascii="Arial" w:eastAsia="Times New Roman" w:hAnsi="Arial" w:cs="Arial"/>
                <w:color w:val="333333"/>
                <w:sz w:val="21"/>
                <w:szCs w:val="21"/>
                <w:lang w:eastAsia="fr-FR"/>
              </w:rPr>
            </w:pPr>
            <w:r w:rsidRPr="007839C6">
              <w:rPr>
                <w:rFonts w:ascii="Arial" w:eastAsia="Times New Roman" w:hAnsi="Arial" w:cs="Arial"/>
                <w:color w:val="333333"/>
                <w:sz w:val="21"/>
                <w:szCs w:val="21"/>
                <w:lang w:eastAsia="fr-FR"/>
              </w:rPr>
              <w:t>Reconduction de l'abondement exceptionnel de 400€</w:t>
            </w:r>
          </w:p>
          <w:p w14:paraId="3E145ECD" w14:textId="77777777" w:rsidR="007839C6" w:rsidRPr="007839C6" w:rsidRDefault="007839C6" w:rsidP="007839C6">
            <w:pPr>
              <w:numPr>
                <w:ilvl w:val="0"/>
                <w:numId w:val="1"/>
              </w:numPr>
              <w:spacing w:before="100" w:beforeAutospacing="1" w:after="100" w:afterAutospacing="1" w:line="315" w:lineRule="atLeast"/>
              <w:ind w:left="1020"/>
              <w:rPr>
                <w:rFonts w:ascii="Arial" w:eastAsia="Times New Roman" w:hAnsi="Arial" w:cs="Arial"/>
                <w:color w:val="333333"/>
                <w:sz w:val="21"/>
                <w:szCs w:val="21"/>
                <w:lang w:eastAsia="fr-FR"/>
              </w:rPr>
            </w:pPr>
            <w:r w:rsidRPr="007839C6">
              <w:rPr>
                <w:rFonts w:ascii="Arial" w:eastAsia="Times New Roman" w:hAnsi="Arial" w:cs="Arial"/>
                <w:color w:val="333333"/>
                <w:sz w:val="21"/>
                <w:szCs w:val="21"/>
                <w:lang w:eastAsia="fr-FR"/>
              </w:rPr>
              <w:t>Enveloppe Equité de 200 000€ </w:t>
            </w:r>
          </w:p>
          <w:p w14:paraId="2E85BFF5" w14:textId="77777777" w:rsidR="007839C6" w:rsidRPr="007839C6" w:rsidRDefault="007839C6" w:rsidP="007839C6">
            <w:pPr>
              <w:spacing w:after="0" w:line="315" w:lineRule="atLeast"/>
              <w:rPr>
                <w:rFonts w:ascii="Arial" w:eastAsia="Times New Roman" w:hAnsi="Arial" w:cs="Arial"/>
                <w:color w:val="333333"/>
                <w:sz w:val="21"/>
                <w:szCs w:val="21"/>
                <w:lang w:eastAsia="fr-FR"/>
              </w:rPr>
            </w:pPr>
            <w:r w:rsidRPr="007839C6">
              <w:rPr>
                <w:rFonts w:ascii="Arial" w:eastAsia="Times New Roman" w:hAnsi="Arial" w:cs="Arial"/>
                <w:color w:val="333333"/>
                <w:sz w:val="21"/>
                <w:szCs w:val="21"/>
                <w:lang w:eastAsia="fr-FR"/>
              </w:rPr>
              <w:br/>
            </w:r>
            <w:r w:rsidRPr="007839C6">
              <w:rPr>
                <w:rFonts w:ascii="Arial" w:eastAsia="Times New Roman" w:hAnsi="Arial" w:cs="Arial"/>
                <w:b/>
                <w:bCs/>
                <w:color w:val="333333"/>
                <w:sz w:val="21"/>
                <w:szCs w:val="21"/>
                <w:lang w:eastAsia="fr-FR"/>
              </w:rPr>
              <w:t>La signature de cet accord était un préalable à un accord de transition à la BDC/CCF pour tous les salariés qui transfèrent.</w:t>
            </w:r>
            <w:r w:rsidRPr="007839C6">
              <w:rPr>
                <w:rFonts w:ascii="Arial" w:eastAsia="Times New Roman" w:hAnsi="Arial" w:cs="Arial"/>
                <w:color w:val="333333"/>
                <w:sz w:val="21"/>
                <w:szCs w:val="21"/>
                <w:lang w:eastAsia="fr-FR"/>
              </w:rPr>
              <w:br/>
            </w:r>
            <w:r w:rsidRPr="007839C6">
              <w:rPr>
                <w:rFonts w:ascii="Arial" w:eastAsia="Times New Roman" w:hAnsi="Arial" w:cs="Arial"/>
                <w:b/>
                <w:bCs/>
                <w:color w:val="333333"/>
                <w:sz w:val="21"/>
                <w:szCs w:val="21"/>
                <w:lang w:eastAsia="fr-FR"/>
              </w:rPr>
              <w:t>Nous attendons aujourd'hui une réunion avec la DRH de MMG afin de transposer la mesure d'augmentation collective dans un accord CCF.</w:t>
            </w:r>
            <w:r w:rsidRPr="007839C6">
              <w:rPr>
                <w:rFonts w:ascii="Arial" w:eastAsia="Times New Roman" w:hAnsi="Arial" w:cs="Arial"/>
                <w:color w:val="333333"/>
                <w:sz w:val="21"/>
                <w:szCs w:val="21"/>
                <w:lang w:eastAsia="fr-FR"/>
              </w:rPr>
              <w:br/>
            </w:r>
            <w:r w:rsidRPr="007839C6">
              <w:rPr>
                <w:rFonts w:ascii="Arial" w:eastAsia="Times New Roman" w:hAnsi="Arial" w:cs="Arial"/>
                <w:color w:val="333333"/>
                <w:sz w:val="21"/>
                <w:szCs w:val="21"/>
                <w:lang w:eastAsia="fr-FR"/>
              </w:rPr>
              <w:br/>
              <w:t>N'hésitez pas à nous suivre sur www.cfdt-hsbc.fr et prochainement sur www.cfdt-ccf.fr</w:t>
            </w:r>
          </w:p>
        </w:tc>
      </w:tr>
      <w:tr w:rsidR="007839C6" w:rsidRPr="007839C6" w14:paraId="312049D9" w14:textId="77777777" w:rsidTr="007839C6">
        <w:trPr>
          <w:trHeight w:val="150"/>
          <w:jc w:val="center"/>
        </w:trPr>
        <w:tc>
          <w:tcPr>
            <w:tcW w:w="0" w:type="auto"/>
            <w:shd w:val="clear" w:color="auto" w:fill="FFFFFF"/>
            <w:vAlign w:val="center"/>
            <w:hideMark/>
          </w:tcPr>
          <w:p w14:paraId="48D04B34" w14:textId="77777777" w:rsidR="007839C6" w:rsidRDefault="007839C6" w:rsidP="007839C6">
            <w:pPr>
              <w:spacing w:after="0" w:line="240" w:lineRule="auto"/>
              <w:rPr>
                <w:rFonts w:ascii="Arial" w:eastAsia="Times New Roman" w:hAnsi="Arial" w:cs="Arial"/>
                <w:sz w:val="24"/>
                <w:szCs w:val="24"/>
                <w:lang w:eastAsia="fr-FR"/>
              </w:rPr>
            </w:pPr>
            <w:r w:rsidRPr="007839C6">
              <w:rPr>
                <w:rFonts w:ascii="Arial" w:eastAsia="Times New Roman" w:hAnsi="Arial" w:cs="Arial"/>
                <w:sz w:val="24"/>
                <w:szCs w:val="24"/>
                <w:lang w:eastAsia="fr-FR"/>
              </w:rPr>
              <w:lastRenderedPageBreak/>
              <w:t> </w:t>
            </w:r>
          </w:p>
          <w:p w14:paraId="6A350B3E" w14:textId="77777777" w:rsidR="007839C6" w:rsidRDefault="007839C6" w:rsidP="007839C6">
            <w:pPr>
              <w:spacing w:after="0" w:line="240" w:lineRule="auto"/>
              <w:rPr>
                <w:rFonts w:ascii="Arial" w:eastAsia="Times New Roman" w:hAnsi="Arial" w:cs="Arial"/>
                <w:sz w:val="24"/>
                <w:szCs w:val="24"/>
                <w:lang w:eastAsia="fr-FR"/>
              </w:rPr>
            </w:pPr>
          </w:p>
          <w:p w14:paraId="7E61EB85" w14:textId="77777777" w:rsidR="007839C6" w:rsidRDefault="007839C6" w:rsidP="007839C6">
            <w:pPr>
              <w:spacing w:after="0" w:line="240" w:lineRule="auto"/>
              <w:rPr>
                <w:rFonts w:ascii="Arial" w:eastAsia="Times New Roman" w:hAnsi="Arial" w:cs="Arial"/>
                <w:sz w:val="24"/>
                <w:szCs w:val="24"/>
                <w:lang w:eastAsia="fr-FR"/>
              </w:rPr>
            </w:pPr>
          </w:p>
          <w:p w14:paraId="19A38489" w14:textId="229A0E9E" w:rsidR="007839C6" w:rsidRPr="007839C6" w:rsidRDefault="007839C6" w:rsidP="007839C6">
            <w:pPr>
              <w:spacing w:after="0" w:line="240" w:lineRule="auto"/>
              <w:rPr>
                <w:rFonts w:ascii="Arial" w:eastAsia="Times New Roman" w:hAnsi="Arial" w:cs="Arial"/>
                <w:sz w:val="24"/>
                <w:szCs w:val="24"/>
                <w:lang w:eastAsia="fr-FR"/>
              </w:rPr>
            </w:pPr>
          </w:p>
        </w:tc>
      </w:tr>
      <w:tr w:rsidR="007839C6" w:rsidRPr="007839C6" w14:paraId="4F07E220" w14:textId="77777777" w:rsidTr="007839C6">
        <w:tblPrEx>
          <w:jc w:val="left"/>
          <w:tblCellMar>
            <w:top w:w="0" w:type="dxa"/>
            <w:left w:w="0" w:type="dxa"/>
            <w:bottom w:w="0" w:type="dxa"/>
            <w:right w:w="0" w:type="dxa"/>
          </w:tblCellMar>
        </w:tblPrEx>
        <w:tc>
          <w:tcPr>
            <w:tcW w:w="8400" w:type="dxa"/>
            <w:shd w:val="clear" w:color="auto" w:fill="FFFFFF"/>
            <w:hideMark/>
          </w:tcPr>
          <w:tbl>
            <w:tblPr>
              <w:tblW w:w="5000" w:type="pct"/>
              <w:jc w:val="center"/>
              <w:tblCellMar>
                <w:left w:w="0" w:type="dxa"/>
                <w:right w:w="0" w:type="dxa"/>
              </w:tblCellMar>
              <w:tblLook w:val="04A0" w:firstRow="1" w:lastRow="0" w:firstColumn="1" w:lastColumn="0" w:noHBand="0" w:noVBand="1"/>
            </w:tblPr>
            <w:tblGrid>
              <w:gridCol w:w="9072"/>
            </w:tblGrid>
            <w:tr w:rsidR="007839C6" w:rsidRPr="007839C6" w14:paraId="11A0FF87" w14:textId="77777777" w:rsidTr="007839C6">
              <w:trPr>
                <w:jc w:val="center"/>
              </w:trPr>
              <w:tc>
                <w:tcPr>
                  <w:tcW w:w="8400" w:type="dxa"/>
                  <w:tcMar>
                    <w:top w:w="150" w:type="dxa"/>
                    <w:left w:w="0" w:type="dxa"/>
                    <w:bottom w:w="150" w:type="dxa"/>
                    <w:right w:w="0" w:type="dxa"/>
                  </w:tcMar>
                  <w:vAlign w:val="center"/>
                </w:tcPr>
                <w:p w14:paraId="3EBDC7A6" w14:textId="3990E2C9" w:rsidR="007839C6" w:rsidRPr="007839C6" w:rsidRDefault="007839C6" w:rsidP="007839C6">
                  <w:pPr>
                    <w:spacing w:after="0" w:line="240" w:lineRule="auto"/>
                    <w:jc w:val="center"/>
                    <w:rPr>
                      <w:rFonts w:ascii="Times New Roman" w:eastAsia="Times New Roman" w:hAnsi="Times New Roman" w:cs="Times New Roman"/>
                      <w:sz w:val="24"/>
                      <w:szCs w:val="24"/>
                      <w:lang w:eastAsia="fr-FR"/>
                    </w:rPr>
                  </w:pPr>
                </w:p>
              </w:tc>
            </w:tr>
          </w:tbl>
          <w:p w14:paraId="687797CF" w14:textId="77777777" w:rsidR="007839C6" w:rsidRPr="007839C6" w:rsidRDefault="007839C6" w:rsidP="007839C6">
            <w:pPr>
              <w:spacing w:after="0" w:line="240" w:lineRule="auto"/>
              <w:jc w:val="center"/>
              <w:rPr>
                <w:rFonts w:ascii="Times New Roman" w:eastAsia="Times New Roman" w:hAnsi="Times New Roman" w:cs="Times New Roman"/>
                <w:sz w:val="24"/>
                <w:szCs w:val="24"/>
                <w:lang w:eastAsia="fr-FR"/>
              </w:rPr>
            </w:pPr>
          </w:p>
        </w:tc>
      </w:tr>
    </w:tbl>
    <w:p w14:paraId="7C7ABE1D" w14:textId="77777777" w:rsidR="007839C6" w:rsidRPr="007839C6" w:rsidRDefault="007839C6" w:rsidP="007839C6">
      <w:pPr>
        <w:spacing w:after="0" w:line="240" w:lineRule="auto"/>
        <w:rPr>
          <w:rFonts w:ascii="Arial" w:eastAsia="Times New Roman" w:hAnsi="Arial" w:cs="Arial"/>
          <w:vanish/>
          <w:color w:val="000000"/>
          <w:sz w:val="27"/>
          <w:szCs w:val="27"/>
          <w:lang w:eastAsia="fr-FR"/>
        </w:rPr>
      </w:pPr>
    </w:p>
    <w:tbl>
      <w:tblPr>
        <w:tblW w:w="5000" w:type="pct"/>
        <w:tblCellSpacing w:w="0" w:type="dxa"/>
        <w:tblCellMar>
          <w:left w:w="0" w:type="dxa"/>
          <w:right w:w="0" w:type="dxa"/>
        </w:tblCellMar>
        <w:tblLook w:val="04A0" w:firstRow="1" w:lastRow="0" w:firstColumn="1" w:lastColumn="0" w:noHBand="0" w:noVBand="1"/>
      </w:tblPr>
      <w:tblGrid>
        <w:gridCol w:w="1140"/>
        <w:gridCol w:w="7932"/>
      </w:tblGrid>
      <w:tr w:rsidR="007839C6" w:rsidRPr="007839C6" w14:paraId="51DF4D46" w14:textId="77777777" w:rsidTr="007839C6">
        <w:trPr>
          <w:tblCellSpacing w:w="0" w:type="dxa"/>
        </w:trPr>
        <w:tc>
          <w:tcPr>
            <w:tcW w:w="0" w:type="auto"/>
            <w:vAlign w:val="center"/>
            <w:hideMark/>
          </w:tcPr>
          <w:p w14:paraId="0BDC4C3C" w14:textId="53F03D8E" w:rsidR="007839C6" w:rsidRPr="007839C6" w:rsidRDefault="007839C6" w:rsidP="007839C6">
            <w:pPr>
              <w:spacing w:after="0" w:line="240" w:lineRule="auto"/>
              <w:rPr>
                <w:rFonts w:ascii="Times New Roman" w:eastAsia="Times New Roman" w:hAnsi="Times New Roman" w:cs="Times New Roman"/>
                <w:sz w:val="24"/>
                <w:szCs w:val="24"/>
                <w:lang w:eastAsia="fr-FR"/>
              </w:rPr>
            </w:pPr>
            <w:r w:rsidRPr="007839C6">
              <w:rPr>
                <w:rFonts w:ascii="Times New Roman" w:eastAsia="Times New Roman" w:hAnsi="Times New Roman" w:cs="Times New Roman"/>
                <w:noProof/>
                <w:sz w:val="24"/>
                <w:szCs w:val="24"/>
                <w:lang w:eastAsia="fr-FR"/>
              </w:rPr>
              <w:drawing>
                <wp:inline distT="0" distB="0" distL="0" distR="0" wp14:anchorId="0138EFEE" wp14:editId="345FA2AB">
                  <wp:extent cx="714375" cy="714375"/>
                  <wp:effectExtent l="0" t="0" r="9525" b="9525"/>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14375" cy="714375"/>
                          </a:xfrm>
                          <a:prstGeom prst="rect">
                            <a:avLst/>
                          </a:prstGeom>
                          <a:noFill/>
                          <a:ln>
                            <a:noFill/>
                          </a:ln>
                        </pic:spPr>
                      </pic:pic>
                    </a:graphicData>
                  </a:graphic>
                </wp:inline>
              </w:drawing>
            </w:r>
          </w:p>
        </w:tc>
        <w:tc>
          <w:tcPr>
            <w:tcW w:w="0" w:type="auto"/>
            <w:tcMar>
              <w:top w:w="0" w:type="dxa"/>
              <w:left w:w="150" w:type="dxa"/>
              <w:bottom w:w="0" w:type="dxa"/>
              <w:right w:w="0" w:type="dxa"/>
            </w:tcMar>
            <w:vAlign w:val="center"/>
            <w:hideMark/>
          </w:tcPr>
          <w:p w14:paraId="1D654A47" w14:textId="77777777" w:rsidR="007839C6" w:rsidRPr="007839C6" w:rsidRDefault="007839C6" w:rsidP="007839C6">
            <w:pPr>
              <w:spacing w:after="0" w:line="240" w:lineRule="auto"/>
              <w:rPr>
                <w:rFonts w:ascii="Times New Roman" w:eastAsia="Times New Roman" w:hAnsi="Times New Roman" w:cs="Times New Roman"/>
                <w:sz w:val="24"/>
                <w:szCs w:val="24"/>
                <w:lang w:eastAsia="fr-FR"/>
              </w:rPr>
            </w:pPr>
            <w:r w:rsidRPr="007839C6">
              <w:rPr>
                <w:rFonts w:ascii="Times New Roman" w:eastAsia="Times New Roman" w:hAnsi="Times New Roman" w:cs="Times New Roman"/>
                <w:i/>
                <w:iCs/>
                <w:color w:val="D66B37"/>
                <w:sz w:val="23"/>
                <w:szCs w:val="23"/>
                <w:lang w:eastAsia="fr-FR"/>
              </w:rPr>
              <w:t>On peut tromper une partie du peuple tout le temps et tout le peuple une partie du temps, mais on ne peut pas tromper tout le peuple tout le temps.</w:t>
            </w:r>
            <w:r w:rsidRPr="007839C6">
              <w:rPr>
                <w:rFonts w:ascii="Times New Roman" w:eastAsia="Times New Roman" w:hAnsi="Times New Roman" w:cs="Times New Roman"/>
                <w:i/>
                <w:iCs/>
                <w:color w:val="808080"/>
                <w:sz w:val="17"/>
                <w:szCs w:val="17"/>
                <w:lang w:eastAsia="fr-FR"/>
              </w:rPr>
              <w:br/>
              <w:t>Abraham Lincoln</w:t>
            </w:r>
          </w:p>
        </w:tc>
      </w:tr>
    </w:tbl>
    <w:p w14:paraId="7EA45B34" w14:textId="77777777" w:rsidR="007839C6" w:rsidRPr="007839C6" w:rsidRDefault="007839C6" w:rsidP="007839C6">
      <w:pPr>
        <w:spacing w:after="0" w:line="240" w:lineRule="auto"/>
        <w:rPr>
          <w:rFonts w:ascii="Arial" w:eastAsia="Times New Roman" w:hAnsi="Arial" w:cs="Arial"/>
          <w:vanish/>
          <w:color w:val="000000"/>
          <w:sz w:val="27"/>
          <w:szCs w:val="27"/>
          <w:lang w:eastAsia="fr-FR"/>
        </w:rPr>
      </w:pPr>
    </w:p>
    <w:sectPr w:rsidR="007839C6" w:rsidRPr="007839C6">
      <w:headerReference w:type="even" r:id="rId8"/>
      <w:headerReference w:type="default" r:id="rId9"/>
      <w:footerReference w:type="even" r:id="rId10"/>
      <w:footerReference w:type="default" r:id="rId11"/>
      <w:headerReference w:type="first" r:id="rId12"/>
      <w:footerReference w:type="first" r:id="rId1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CE488C6" w14:textId="77777777" w:rsidR="007839C6" w:rsidRDefault="007839C6" w:rsidP="007839C6">
      <w:pPr>
        <w:spacing w:after="0" w:line="240" w:lineRule="auto"/>
      </w:pPr>
      <w:r>
        <w:separator/>
      </w:r>
    </w:p>
  </w:endnote>
  <w:endnote w:type="continuationSeparator" w:id="0">
    <w:p w14:paraId="0DE39CB1" w14:textId="77777777" w:rsidR="007839C6" w:rsidRDefault="007839C6" w:rsidP="007839C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Segoe UI Emoji">
    <w:panose1 w:val="020B0502040204020203"/>
    <w:charset w:val="00"/>
    <w:family w:val="swiss"/>
    <w:pitch w:val="variable"/>
    <w:sig w:usb0="00000003" w:usb1="02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8D124B" w14:textId="77777777" w:rsidR="007839C6" w:rsidRDefault="007839C6">
    <w:pPr>
      <w:pStyle w:val="Pieddepag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E8936D" w14:textId="77777777" w:rsidR="007839C6" w:rsidRDefault="007839C6">
    <w:pPr>
      <w:pStyle w:val="Pieddepag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C9596E" w14:textId="77777777" w:rsidR="007839C6" w:rsidRDefault="007839C6">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7634844" w14:textId="77777777" w:rsidR="007839C6" w:rsidRDefault="007839C6" w:rsidP="007839C6">
      <w:pPr>
        <w:spacing w:after="0" w:line="240" w:lineRule="auto"/>
      </w:pPr>
      <w:r>
        <w:separator/>
      </w:r>
    </w:p>
  </w:footnote>
  <w:footnote w:type="continuationSeparator" w:id="0">
    <w:p w14:paraId="0E2D585B" w14:textId="77777777" w:rsidR="007839C6" w:rsidRDefault="007839C6" w:rsidP="007839C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8297D0" w14:textId="77777777" w:rsidR="007839C6" w:rsidRDefault="007839C6">
    <w:pPr>
      <w:pStyle w:val="En-tt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214C07" w14:textId="77777777" w:rsidR="007839C6" w:rsidRDefault="007839C6">
    <w:pPr>
      <w:pStyle w:val="En-tt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EC1C64" w14:textId="77777777" w:rsidR="007839C6" w:rsidRDefault="007839C6">
    <w:pPr>
      <w:pStyle w:val="En-tt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15C1132"/>
    <w:multiLevelType w:val="multilevel"/>
    <w:tmpl w:val="9990BC0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66516241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839C6"/>
    <w:rsid w:val="006F0C2F"/>
    <w:rsid w:val="007839C6"/>
    <w:rsid w:val="009A0829"/>
    <w:rsid w:val="00E06E8C"/>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78977CD"/>
  <w15:chartTrackingRefBased/>
  <w15:docId w15:val="{71DB490B-22CA-4F33-9B07-09EF0F09CA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ev">
    <w:name w:val="Strong"/>
    <w:basedOn w:val="Policepardfaut"/>
    <w:uiPriority w:val="22"/>
    <w:qFormat/>
    <w:rsid w:val="007839C6"/>
    <w:rPr>
      <w:b/>
      <w:bCs/>
    </w:rPr>
  </w:style>
  <w:style w:type="character" w:styleId="Lienhypertexte">
    <w:name w:val="Hyperlink"/>
    <w:basedOn w:val="Policepardfaut"/>
    <w:uiPriority w:val="99"/>
    <w:semiHidden/>
    <w:unhideWhenUsed/>
    <w:rsid w:val="007839C6"/>
    <w:rPr>
      <w:color w:val="0000FF"/>
      <w:u w:val="single"/>
    </w:rPr>
  </w:style>
  <w:style w:type="character" w:styleId="Accentuation">
    <w:name w:val="Emphasis"/>
    <w:basedOn w:val="Policepardfaut"/>
    <w:uiPriority w:val="20"/>
    <w:qFormat/>
    <w:rsid w:val="007839C6"/>
    <w:rPr>
      <w:i/>
      <w:iCs/>
    </w:rPr>
  </w:style>
  <w:style w:type="paragraph" w:styleId="NormalWeb">
    <w:name w:val="Normal (Web)"/>
    <w:basedOn w:val="Normal"/>
    <w:uiPriority w:val="99"/>
    <w:semiHidden/>
    <w:unhideWhenUsed/>
    <w:rsid w:val="007839C6"/>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En-tte">
    <w:name w:val="header"/>
    <w:basedOn w:val="Normal"/>
    <w:link w:val="En-tteCar"/>
    <w:uiPriority w:val="99"/>
    <w:unhideWhenUsed/>
    <w:rsid w:val="007839C6"/>
    <w:pPr>
      <w:tabs>
        <w:tab w:val="center" w:pos="4536"/>
        <w:tab w:val="right" w:pos="9072"/>
      </w:tabs>
      <w:spacing w:after="0" w:line="240" w:lineRule="auto"/>
    </w:pPr>
  </w:style>
  <w:style w:type="character" w:customStyle="1" w:styleId="En-tteCar">
    <w:name w:val="En-tête Car"/>
    <w:basedOn w:val="Policepardfaut"/>
    <w:link w:val="En-tte"/>
    <w:uiPriority w:val="99"/>
    <w:rsid w:val="007839C6"/>
  </w:style>
  <w:style w:type="paragraph" w:styleId="Pieddepage">
    <w:name w:val="footer"/>
    <w:basedOn w:val="Normal"/>
    <w:link w:val="PieddepageCar"/>
    <w:uiPriority w:val="99"/>
    <w:unhideWhenUsed/>
    <w:rsid w:val="007839C6"/>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7839C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84861967">
      <w:bodyDiv w:val="1"/>
      <w:marLeft w:val="0"/>
      <w:marRight w:val="0"/>
      <w:marTop w:val="0"/>
      <w:marBottom w:val="0"/>
      <w:divBdr>
        <w:top w:val="none" w:sz="0" w:space="0" w:color="auto"/>
        <w:left w:val="none" w:sz="0" w:space="0" w:color="auto"/>
        <w:bottom w:val="none" w:sz="0" w:space="0" w:color="auto"/>
        <w:right w:val="none" w:sz="0" w:space="0" w:color="auto"/>
      </w:divBdr>
      <w:divsChild>
        <w:div w:id="112835688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2</Pages>
  <Words>486</Words>
  <Characters>2679</Characters>
  <Application>Microsoft Office Word</Application>
  <DocSecurity>0</DocSecurity>
  <Lines>22</Lines>
  <Paragraphs>6</Paragraphs>
  <ScaleCrop>false</ScaleCrop>
  <Company>HSBC</Company>
  <LinksUpToDate>false</LinksUpToDate>
  <CharactersWithSpaces>3159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Sandrine LEMENAGER</dc:creator>
  <cp:keywords/>
  <dc:description/>
  <cp:lastModifiedBy>Sandrine LEMENAGER</cp:lastModifiedBy>
  <cp:revision>2</cp:revision>
  <dcterms:created xsi:type="dcterms:W3CDTF">2023-12-01T07:58:00Z</dcterms:created>
  <dcterms:modified xsi:type="dcterms:W3CDTF">2023-12-01T08:02:00Z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d77d40fb-554b-4dd3-bbeb-f408eac3a163_Enabled">
    <vt:lpwstr>true</vt:lpwstr>
  </property>
  <property fmtid="{D5CDD505-2E9C-101B-9397-08002B2CF9AE}" pid="3" name="MSIP_Label_d77d40fb-554b-4dd3-bbeb-f408eac3a163_SetDate">
    <vt:lpwstr>2023-12-01T08:01:48Z</vt:lpwstr>
  </property>
  <property fmtid="{D5CDD505-2E9C-101B-9397-08002B2CF9AE}" pid="4" name="MSIP_Label_d77d40fb-554b-4dd3-bbeb-f408eac3a163_Method">
    <vt:lpwstr>Privileged</vt:lpwstr>
  </property>
  <property fmtid="{D5CDD505-2E9C-101B-9397-08002B2CF9AE}" pid="5" name="MSIP_Label_d77d40fb-554b-4dd3-bbeb-f408eac3a163_Name">
    <vt:lpwstr>CFRNOTAPP</vt:lpwstr>
  </property>
  <property fmtid="{D5CDD505-2E9C-101B-9397-08002B2CF9AE}" pid="6" name="MSIP_Label_d77d40fb-554b-4dd3-bbeb-f408eac3a163_SiteId">
    <vt:lpwstr>e0fd434d-ba64-497b-90d2-859c472e1a92</vt:lpwstr>
  </property>
  <property fmtid="{D5CDD505-2E9C-101B-9397-08002B2CF9AE}" pid="7" name="MSIP_Label_d77d40fb-554b-4dd3-bbeb-f408eac3a163_ActionId">
    <vt:lpwstr>bcf86a45-9596-4e36-bd7a-c1ffb50b16e4</vt:lpwstr>
  </property>
  <property fmtid="{D5CDD505-2E9C-101B-9397-08002B2CF9AE}" pid="8" name="MSIP_Label_d77d40fb-554b-4dd3-bbeb-f408eac3a163_ContentBits">
    <vt:lpwstr>0</vt:lpwstr>
  </property>
</Properties>
</file>