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7839C6" w:rsidRPr="007839C6" w14:paraId="31BEDC53" w14:textId="77777777" w:rsidTr="007839C6">
        <w:trPr>
          <w:trHeight w:val="375"/>
          <w:jc w:val="center"/>
        </w:trPr>
        <w:tc>
          <w:tcPr>
            <w:tcW w:w="0" w:type="auto"/>
            <w:shd w:val="clear" w:color="auto" w:fill="FFFFFF"/>
            <w:tcMar>
              <w:top w:w="300" w:type="dxa"/>
              <w:left w:w="300" w:type="dxa"/>
              <w:bottom w:w="15" w:type="dxa"/>
              <w:right w:w="300" w:type="dxa"/>
            </w:tcMar>
            <w:vAlign w:val="center"/>
            <w:hideMark/>
          </w:tcPr>
          <w:p w14:paraId="7A33D6A8" w14:textId="4B5D6A4C" w:rsidR="007839C6" w:rsidRPr="007839C6" w:rsidRDefault="007839C6" w:rsidP="007839C6">
            <w:pPr>
              <w:spacing w:after="0" w:line="240" w:lineRule="auto"/>
              <w:rPr>
                <w:rFonts w:ascii="Arial" w:eastAsia="Times New Roman" w:hAnsi="Arial" w:cs="Arial"/>
                <w:b/>
                <w:bCs/>
                <w:color w:val="E8591D"/>
                <w:sz w:val="30"/>
                <w:szCs w:val="30"/>
                <w:lang w:eastAsia="fr-FR"/>
              </w:rPr>
            </w:pPr>
            <w:r w:rsidRPr="007839C6">
              <w:rPr>
                <w:rFonts w:ascii="Arial" w:eastAsia="Times New Roman" w:hAnsi="Arial" w:cs="Arial"/>
                <w:b/>
                <w:bCs/>
                <w:color w:val="E8591D"/>
                <w:sz w:val="30"/>
                <w:szCs w:val="30"/>
                <w:lang w:eastAsia="fr-FR"/>
              </w:rPr>
              <w:t>Prime de reconnaissance projet "Belle" et retour sur la signature des négociations annuelles ob</w:t>
            </w:r>
            <w:r>
              <w:rPr>
                <w:rFonts w:ascii="Arial" w:eastAsia="Times New Roman" w:hAnsi="Arial" w:cs="Arial"/>
                <w:b/>
                <w:bCs/>
                <w:color w:val="E8591D"/>
                <w:sz w:val="30"/>
                <w:szCs w:val="30"/>
                <w:lang w:eastAsia="fr-FR"/>
              </w:rPr>
              <w:t>ligatoires sur les salaires périmètre HBCE</w:t>
            </w:r>
          </w:p>
        </w:tc>
      </w:tr>
      <w:tr w:rsidR="007839C6" w:rsidRPr="007839C6" w14:paraId="4D6E3ABE" w14:textId="77777777" w:rsidTr="007839C6">
        <w:trPr>
          <w:trHeight w:val="225"/>
          <w:jc w:val="center"/>
        </w:trPr>
        <w:tc>
          <w:tcPr>
            <w:tcW w:w="0" w:type="auto"/>
            <w:shd w:val="clear" w:color="auto" w:fill="FFFFFF"/>
            <w:vAlign w:val="center"/>
            <w:hideMark/>
          </w:tcPr>
          <w:p w14:paraId="02172835" w14:textId="77777777" w:rsidR="007839C6" w:rsidRPr="007839C6" w:rsidRDefault="007839C6" w:rsidP="007839C6">
            <w:pPr>
              <w:spacing w:after="0" w:line="240" w:lineRule="auto"/>
              <w:rPr>
                <w:rFonts w:ascii="Arial" w:eastAsia="Times New Roman" w:hAnsi="Arial" w:cs="Arial"/>
                <w:sz w:val="24"/>
                <w:szCs w:val="24"/>
                <w:lang w:eastAsia="fr-FR"/>
              </w:rPr>
            </w:pPr>
            <w:r w:rsidRPr="007839C6">
              <w:rPr>
                <w:rFonts w:ascii="Arial" w:eastAsia="Times New Roman" w:hAnsi="Arial" w:cs="Arial"/>
                <w:sz w:val="24"/>
                <w:szCs w:val="24"/>
                <w:lang w:eastAsia="fr-FR"/>
              </w:rPr>
              <w:t> </w:t>
            </w:r>
          </w:p>
        </w:tc>
      </w:tr>
      <w:tr w:rsidR="007839C6" w:rsidRPr="007839C6" w14:paraId="5C21D98B" w14:textId="77777777" w:rsidTr="007839C6">
        <w:trPr>
          <w:jc w:val="center"/>
        </w:trPr>
        <w:tc>
          <w:tcPr>
            <w:tcW w:w="0" w:type="auto"/>
            <w:shd w:val="clear" w:color="auto" w:fill="FFFFFF"/>
            <w:tcMar>
              <w:top w:w="15" w:type="dxa"/>
              <w:left w:w="300" w:type="dxa"/>
              <w:bottom w:w="15" w:type="dxa"/>
              <w:right w:w="300" w:type="dxa"/>
            </w:tcMar>
            <w:hideMark/>
          </w:tcPr>
          <w:p w14:paraId="18D05B6D" w14:textId="74009F02" w:rsidR="007839C6" w:rsidRPr="007839C6" w:rsidRDefault="007839C6" w:rsidP="007839C6">
            <w:pPr>
              <w:spacing w:after="0" w:line="315" w:lineRule="atLeast"/>
              <w:rPr>
                <w:rFonts w:ascii="Arial" w:eastAsia="Times New Roman" w:hAnsi="Arial" w:cs="Arial"/>
                <w:color w:val="333333"/>
                <w:sz w:val="21"/>
                <w:szCs w:val="21"/>
                <w:lang w:eastAsia="fr-FR"/>
              </w:rPr>
            </w:pPr>
            <w:r w:rsidRPr="007839C6">
              <w:rPr>
                <w:rFonts w:ascii="Segoe UI Symbol" w:eastAsia="Times New Roman" w:hAnsi="Segoe UI Symbol" w:cs="Segoe UI Symbol"/>
                <w:color w:val="333333"/>
                <w:sz w:val="21"/>
                <w:szCs w:val="21"/>
                <w:lang w:eastAsia="fr-FR"/>
              </w:rPr>
              <w:t>✔</w:t>
            </w:r>
            <w:r w:rsidRPr="007839C6">
              <w:rPr>
                <w:rFonts w:ascii="Arial" w:eastAsia="Times New Roman" w:hAnsi="Arial" w:cs="Arial"/>
                <w:color w:val="333333"/>
                <w:sz w:val="21"/>
                <w:szCs w:val="21"/>
                <w:lang w:eastAsia="fr-FR"/>
              </w:rPr>
              <w:t> </w:t>
            </w:r>
            <w:r w:rsidRPr="007839C6">
              <w:rPr>
                <w:rFonts w:ascii="Arial" w:eastAsia="Times New Roman" w:hAnsi="Arial" w:cs="Arial"/>
                <w:b/>
                <w:bCs/>
                <w:color w:val="333333"/>
                <w:sz w:val="21"/>
                <w:szCs w:val="21"/>
                <w:lang w:eastAsia="fr-FR"/>
              </w:rPr>
              <w:t>Prime Projet Belle</w:t>
            </w:r>
            <w:r w:rsidRPr="007839C6">
              <w:rPr>
                <w:rFonts w:ascii="Arial" w:eastAsia="Times New Roman" w:hAnsi="Arial" w:cs="Arial"/>
                <w:color w:val="333333"/>
                <w:sz w:val="21"/>
                <w:szCs w:val="21"/>
                <w:lang w:eastAsia="fr-FR"/>
              </w:rPr>
              <w:t>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C'est aux forceps que l'intersyndicale a enfin obtenu de la direction un retour positif sur cette demande pour tous les salariés transférés et pour les salariés de DBS et des Fonctions Support qui auront contribué de façon significative au projet Belle (appréciation de leur hiérarchie).</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Le montant est de 2000€ bruts et sera versé par HBCE sur la paie de janvier 2024</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Ce versement est soumis à 3 conditions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1.     Que la cession se fasse</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xml:space="preserve">2.     </w:t>
            </w:r>
            <w:r w:rsidR="009A0829" w:rsidRPr="007839C6">
              <w:rPr>
                <w:rFonts w:ascii="Arial" w:eastAsia="Times New Roman" w:hAnsi="Arial" w:cs="Arial"/>
                <w:color w:val="333333"/>
                <w:sz w:val="21"/>
                <w:szCs w:val="21"/>
                <w:lang w:eastAsia="fr-FR"/>
              </w:rPr>
              <w:t>Être</w:t>
            </w:r>
            <w:r w:rsidRPr="007839C6">
              <w:rPr>
                <w:rFonts w:ascii="Arial" w:eastAsia="Times New Roman" w:hAnsi="Arial" w:cs="Arial"/>
                <w:color w:val="333333"/>
                <w:sz w:val="21"/>
                <w:szCs w:val="21"/>
                <w:lang w:eastAsia="fr-FR"/>
              </w:rPr>
              <w:t xml:space="preserve"> présent au 01/01/2024</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3.     Ancienneté minimum de 6 mois</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w:t>
            </w:r>
            <w:r w:rsidRPr="007839C6">
              <w:rPr>
                <w:rFonts w:ascii="Arial" w:eastAsia="Times New Roman" w:hAnsi="Arial" w:cs="Arial"/>
                <w:color w:val="333333"/>
                <w:sz w:val="21"/>
                <w:szCs w:val="21"/>
                <w:lang w:eastAsia="fr-FR"/>
              </w:rPr>
              <w:br/>
            </w:r>
            <w:r w:rsidRPr="007839C6">
              <w:rPr>
                <w:rFonts w:ascii="Segoe UI Emoji" w:eastAsia="Times New Roman" w:hAnsi="Segoe UI Emoji" w:cs="Segoe UI Emoji"/>
                <w:color w:val="333333"/>
                <w:sz w:val="21"/>
                <w:szCs w:val="21"/>
                <w:lang w:eastAsia="fr-FR"/>
              </w:rPr>
              <w:t>👀</w:t>
            </w:r>
            <w:r w:rsidRPr="007839C6">
              <w:rPr>
                <w:rFonts w:ascii="Arial" w:eastAsia="Times New Roman" w:hAnsi="Arial" w:cs="Arial"/>
                <w:color w:val="333333"/>
                <w:sz w:val="21"/>
                <w:szCs w:val="21"/>
                <w:lang w:eastAsia="fr-FR"/>
              </w:rPr>
              <w:t xml:space="preserve"> On refait l'histoire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Pour rappel, dans le cadre souhaité par HSBC de la vente de son réseau de distribution à la Banque des Caraïbes via MMG et via le fonds d'investissement CERBERUS, le projet d'accord de transition tel que présenté en octobre 2021 prévoyait au niveau du statut social des salariés transférés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Une garantie d'emploi de 12 mois,</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Une durée de validité des accords en vigueur de 15 mois</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Un engagement de renégocier en amont les accords frais de santé, prévoyance, et retraite supplémentaire</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La seule concession obtenue est la prorogation des accords sur 30 mois, mais ce n'est qu'un maximum. Nul doute que ces accords seront renégociés bien en amont sous forme de « package » dixit notre futur employeur (nos interlocuteurs chez MMG) ! Et ce dans quelles conditions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Largement insuffisant pour la CFDT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lastRenderedPageBreak/>
              <w:t>La CFDT n'a pas signé cet accord…</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En effet la CFDT demandait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Qu'une enveloppe financière digne de ce nom, et au moins équivalente à celle octroyée pour le PSE GBM ou pour les RCC CMB, soit réservée aux salariés qui transfèrent dans le cas où un projet de réorganisation venait à nous être présenté</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xml:space="preserve">-      Une prime de transfert significative ! (Pour info la prime de transfert Barclays chez </w:t>
            </w:r>
            <w:proofErr w:type="spellStart"/>
            <w:r w:rsidRPr="007839C6">
              <w:rPr>
                <w:rFonts w:ascii="Arial" w:eastAsia="Times New Roman" w:hAnsi="Arial" w:cs="Arial"/>
                <w:color w:val="333333"/>
                <w:sz w:val="21"/>
                <w:szCs w:val="21"/>
                <w:lang w:eastAsia="fr-FR"/>
              </w:rPr>
              <w:t>Milleis</w:t>
            </w:r>
            <w:proofErr w:type="spellEnd"/>
            <w:r w:rsidRPr="007839C6">
              <w:rPr>
                <w:rFonts w:ascii="Arial" w:eastAsia="Times New Roman" w:hAnsi="Arial" w:cs="Arial"/>
                <w:color w:val="333333"/>
                <w:sz w:val="21"/>
                <w:szCs w:val="21"/>
                <w:lang w:eastAsia="fr-FR"/>
              </w:rPr>
              <w:t xml:space="preserve"> a été de 6000 €</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 xml:space="preserve">Au vu des négociations qui se sont déjà déroulées avec la direction de MMG concernant la mutuelle, la prévoyance, et le </w:t>
            </w:r>
            <w:proofErr w:type="spellStart"/>
            <w:r w:rsidRPr="007839C6">
              <w:rPr>
                <w:rFonts w:ascii="Arial" w:eastAsia="Times New Roman" w:hAnsi="Arial" w:cs="Arial"/>
                <w:color w:val="333333"/>
                <w:sz w:val="21"/>
                <w:szCs w:val="21"/>
                <w:lang w:eastAsia="fr-FR"/>
              </w:rPr>
              <w:t>Pero</w:t>
            </w:r>
            <w:proofErr w:type="spellEnd"/>
            <w:r w:rsidRPr="007839C6">
              <w:rPr>
                <w:rFonts w:ascii="Arial" w:eastAsia="Times New Roman" w:hAnsi="Arial" w:cs="Arial"/>
                <w:color w:val="333333"/>
                <w:sz w:val="21"/>
                <w:szCs w:val="21"/>
                <w:lang w:eastAsia="fr-FR"/>
              </w:rPr>
              <w:t>, et son lot de surprises (groupe fermé, …) la CFDT est confortée dans ses choix et sa décision.</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r>
            <w:r w:rsidRPr="007839C6">
              <w:rPr>
                <w:rFonts w:ascii="Arial" w:eastAsia="Times New Roman" w:hAnsi="Arial" w:cs="Arial"/>
                <w:b/>
                <w:bCs/>
                <w:color w:val="333333"/>
                <w:sz w:val="21"/>
                <w:szCs w:val="21"/>
                <w:lang w:eastAsia="fr-FR"/>
              </w:rPr>
              <w:t>Négociations annuelles obligatoires sur les salaires sur le périmètre HBCE (pour les salariés ne transférant pas)</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La CFDT a signé ! 3 mesures </w:t>
            </w:r>
          </w:p>
          <w:p w14:paraId="0C502B42" w14:textId="77777777" w:rsidR="007839C6" w:rsidRPr="007839C6" w:rsidRDefault="007839C6" w:rsidP="007839C6">
            <w:pPr>
              <w:numPr>
                <w:ilvl w:val="0"/>
                <w:numId w:val="1"/>
              </w:numPr>
              <w:spacing w:before="100" w:beforeAutospacing="1" w:after="100" w:afterAutospacing="1" w:line="315" w:lineRule="atLeast"/>
              <w:ind w:left="1020"/>
              <w:rPr>
                <w:rFonts w:ascii="Arial" w:eastAsia="Times New Roman" w:hAnsi="Arial" w:cs="Arial"/>
                <w:color w:val="333333"/>
                <w:sz w:val="21"/>
                <w:szCs w:val="21"/>
                <w:lang w:eastAsia="fr-FR"/>
              </w:rPr>
            </w:pPr>
            <w:r w:rsidRPr="007839C6">
              <w:rPr>
                <w:rFonts w:ascii="Arial" w:eastAsia="Times New Roman" w:hAnsi="Arial" w:cs="Arial"/>
                <w:color w:val="333333"/>
                <w:sz w:val="21"/>
                <w:szCs w:val="21"/>
                <w:lang w:eastAsia="fr-FR"/>
              </w:rPr>
              <w:t>Augmentation de 3% pour tous les salariés dont le salaire brut est inférieur ou égal à 50 000€ avec un plancher de 1000€ et augmentation de 2% pour tous les salariés dont le salaire brut est compris entre 50 001€ et 80 000€</w:t>
            </w:r>
          </w:p>
          <w:p w14:paraId="7A984177" w14:textId="77777777" w:rsidR="007839C6" w:rsidRPr="007839C6" w:rsidRDefault="007839C6" w:rsidP="007839C6">
            <w:pPr>
              <w:numPr>
                <w:ilvl w:val="0"/>
                <w:numId w:val="1"/>
              </w:numPr>
              <w:spacing w:before="100" w:beforeAutospacing="1" w:after="100" w:afterAutospacing="1" w:line="315" w:lineRule="atLeast"/>
              <w:ind w:left="1020"/>
              <w:rPr>
                <w:rFonts w:ascii="Arial" w:eastAsia="Times New Roman" w:hAnsi="Arial" w:cs="Arial"/>
                <w:color w:val="333333"/>
                <w:sz w:val="21"/>
                <w:szCs w:val="21"/>
                <w:lang w:eastAsia="fr-FR"/>
              </w:rPr>
            </w:pPr>
            <w:r w:rsidRPr="007839C6">
              <w:rPr>
                <w:rFonts w:ascii="Arial" w:eastAsia="Times New Roman" w:hAnsi="Arial" w:cs="Arial"/>
                <w:color w:val="333333"/>
                <w:sz w:val="21"/>
                <w:szCs w:val="21"/>
                <w:lang w:eastAsia="fr-FR"/>
              </w:rPr>
              <w:t>Reconduction de l'abondement exceptionnel de 400€</w:t>
            </w:r>
          </w:p>
          <w:p w14:paraId="3E145ECD" w14:textId="77777777" w:rsidR="007839C6" w:rsidRPr="007839C6" w:rsidRDefault="007839C6" w:rsidP="007839C6">
            <w:pPr>
              <w:numPr>
                <w:ilvl w:val="0"/>
                <w:numId w:val="1"/>
              </w:numPr>
              <w:spacing w:before="100" w:beforeAutospacing="1" w:after="100" w:afterAutospacing="1" w:line="315" w:lineRule="atLeast"/>
              <w:ind w:left="1020"/>
              <w:rPr>
                <w:rFonts w:ascii="Arial" w:eastAsia="Times New Roman" w:hAnsi="Arial" w:cs="Arial"/>
                <w:color w:val="333333"/>
                <w:sz w:val="21"/>
                <w:szCs w:val="21"/>
                <w:lang w:eastAsia="fr-FR"/>
              </w:rPr>
            </w:pPr>
            <w:r w:rsidRPr="007839C6">
              <w:rPr>
                <w:rFonts w:ascii="Arial" w:eastAsia="Times New Roman" w:hAnsi="Arial" w:cs="Arial"/>
                <w:color w:val="333333"/>
                <w:sz w:val="21"/>
                <w:szCs w:val="21"/>
                <w:lang w:eastAsia="fr-FR"/>
              </w:rPr>
              <w:t>Enveloppe Equité de 200 000€ </w:t>
            </w:r>
          </w:p>
          <w:p w14:paraId="2E85BFF5" w14:textId="77777777" w:rsidR="007839C6" w:rsidRPr="007839C6" w:rsidRDefault="007839C6" w:rsidP="007839C6">
            <w:pPr>
              <w:spacing w:after="0" w:line="315" w:lineRule="atLeast"/>
              <w:rPr>
                <w:rFonts w:ascii="Arial" w:eastAsia="Times New Roman" w:hAnsi="Arial" w:cs="Arial"/>
                <w:color w:val="333333"/>
                <w:sz w:val="21"/>
                <w:szCs w:val="21"/>
                <w:lang w:eastAsia="fr-FR"/>
              </w:rPr>
            </w:pPr>
            <w:r w:rsidRPr="007839C6">
              <w:rPr>
                <w:rFonts w:ascii="Arial" w:eastAsia="Times New Roman" w:hAnsi="Arial" w:cs="Arial"/>
                <w:color w:val="333333"/>
                <w:sz w:val="21"/>
                <w:szCs w:val="21"/>
                <w:lang w:eastAsia="fr-FR"/>
              </w:rPr>
              <w:br/>
            </w:r>
            <w:r w:rsidRPr="007839C6">
              <w:rPr>
                <w:rFonts w:ascii="Arial" w:eastAsia="Times New Roman" w:hAnsi="Arial" w:cs="Arial"/>
                <w:b/>
                <w:bCs/>
                <w:color w:val="333333"/>
                <w:sz w:val="21"/>
                <w:szCs w:val="21"/>
                <w:lang w:eastAsia="fr-FR"/>
              </w:rPr>
              <w:t>La signature de cet accord était un préalable à un accord de transition à la BDC/CCF pour tous les salariés qui transfèrent.</w:t>
            </w:r>
            <w:r w:rsidRPr="007839C6">
              <w:rPr>
                <w:rFonts w:ascii="Arial" w:eastAsia="Times New Roman" w:hAnsi="Arial" w:cs="Arial"/>
                <w:color w:val="333333"/>
                <w:sz w:val="21"/>
                <w:szCs w:val="21"/>
                <w:lang w:eastAsia="fr-FR"/>
              </w:rPr>
              <w:br/>
            </w:r>
            <w:r w:rsidRPr="007839C6">
              <w:rPr>
                <w:rFonts w:ascii="Arial" w:eastAsia="Times New Roman" w:hAnsi="Arial" w:cs="Arial"/>
                <w:b/>
                <w:bCs/>
                <w:color w:val="333333"/>
                <w:sz w:val="21"/>
                <w:szCs w:val="21"/>
                <w:lang w:eastAsia="fr-FR"/>
              </w:rPr>
              <w:t>Nous attendons aujourd'hui une réunion avec la DRH de MMG afin de transposer la mesure d'augmentation collective dans un accord CCF.</w:t>
            </w:r>
            <w:r w:rsidRPr="007839C6">
              <w:rPr>
                <w:rFonts w:ascii="Arial" w:eastAsia="Times New Roman" w:hAnsi="Arial" w:cs="Arial"/>
                <w:color w:val="333333"/>
                <w:sz w:val="21"/>
                <w:szCs w:val="21"/>
                <w:lang w:eastAsia="fr-FR"/>
              </w:rPr>
              <w:br/>
            </w:r>
            <w:r w:rsidRPr="007839C6">
              <w:rPr>
                <w:rFonts w:ascii="Arial" w:eastAsia="Times New Roman" w:hAnsi="Arial" w:cs="Arial"/>
                <w:color w:val="333333"/>
                <w:sz w:val="21"/>
                <w:szCs w:val="21"/>
                <w:lang w:eastAsia="fr-FR"/>
              </w:rPr>
              <w:br/>
              <w:t>N'hésitez pas à nous suivre sur www.cfdt-hsbc.fr et prochainement sur www.cfdt-ccf.fr</w:t>
            </w:r>
          </w:p>
        </w:tc>
      </w:tr>
      <w:tr w:rsidR="007839C6" w:rsidRPr="007839C6" w14:paraId="312049D9" w14:textId="77777777" w:rsidTr="007839C6">
        <w:trPr>
          <w:trHeight w:val="150"/>
          <w:jc w:val="center"/>
        </w:trPr>
        <w:tc>
          <w:tcPr>
            <w:tcW w:w="0" w:type="auto"/>
            <w:shd w:val="clear" w:color="auto" w:fill="FFFFFF"/>
            <w:vAlign w:val="center"/>
            <w:hideMark/>
          </w:tcPr>
          <w:p w14:paraId="48D04B34" w14:textId="77777777" w:rsidR="007839C6" w:rsidRDefault="007839C6" w:rsidP="007839C6">
            <w:pPr>
              <w:spacing w:after="0" w:line="240" w:lineRule="auto"/>
              <w:rPr>
                <w:rFonts w:ascii="Arial" w:eastAsia="Times New Roman" w:hAnsi="Arial" w:cs="Arial"/>
                <w:sz w:val="24"/>
                <w:szCs w:val="24"/>
                <w:lang w:eastAsia="fr-FR"/>
              </w:rPr>
            </w:pPr>
            <w:r w:rsidRPr="007839C6">
              <w:rPr>
                <w:rFonts w:ascii="Arial" w:eastAsia="Times New Roman" w:hAnsi="Arial" w:cs="Arial"/>
                <w:sz w:val="24"/>
                <w:szCs w:val="24"/>
                <w:lang w:eastAsia="fr-FR"/>
              </w:rPr>
              <w:lastRenderedPageBreak/>
              <w:t> </w:t>
            </w:r>
          </w:p>
          <w:p w14:paraId="6A350B3E" w14:textId="77777777" w:rsidR="007839C6" w:rsidRDefault="007839C6" w:rsidP="007839C6">
            <w:pPr>
              <w:spacing w:after="0" w:line="240" w:lineRule="auto"/>
              <w:rPr>
                <w:rFonts w:ascii="Arial" w:eastAsia="Times New Roman" w:hAnsi="Arial" w:cs="Arial"/>
                <w:sz w:val="24"/>
                <w:szCs w:val="24"/>
                <w:lang w:eastAsia="fr-FR"/>
              </w:rPr>
            </w:pPr>
          </w:p>
          <w:p w14:paraId="7E61EB85" w14:textId="77777777" w:rsidR="007839C6" w:rsidRDefault="007839C6" w:rsidP="007839C6">
            <w:pPr>
              <w:spacing w:after="0" w:line="240" w:lineRule="auto"/>
              <w:rPr>
                <w:rFonts w:ascii="Arial" w:eastAsia="Times New Roman" w:hAnsi="Arial" w:cs="Arial"/>
                <w:sz w:val="24"/>
                <w:szCs w:val="24"/>
                <w:lang w:eastAsia="fr-FR"/>
              </w:rPr>
            </w:pPr>
          </w:p>
          <w:p w14:paraId="19A38489" w14:textId="229A0E9E" w:rsidR="007839C6" w:rsidRPr="007839C6" w:rsidRDefault="007839C6" w:rsidP="007839C6">
            <w:pPr>
              <w:spacing w:after="0" w:line="240" w:lineRule="auto"/>
              <w:rPr>
                <w:rFonts w:ascii="Arial" w:eastAsia="Times New Roman" w:hAnsi="Arial" w:cs="Arial"/>
                <w:sz w:val="24"/>
                <w:szCs w:val="24"/>
                <w:lang w:eastAsia="fr-FR"/>
              </w:rPr>
            </w:pPr>
          </w:p>
        </w:tc>
      </w:tr>
      <w:tr w:rsidR="007839C6" w:rsidRPr="007839C6" w14:paraId="4F07E220" w14:textId="77777777" w:rsidTr="007839C6">
        <w:tblPrEx>
          <w:jc w:val="left"/>
          <w:tblCellMar>
            <w:top w:w="0" w:type="dxa"/>
            <w:left w:w="0" w:type="dxa"/>
            <w:bottom w:w="0" w:type="dxa"/>
            <w:right w:w="0" w:type="dxa"/>
          </w:tblCellMar>
        </w:tblPrEx>
        <w:tc>
          <w:tcPr>
            <w:tcW w:w="8400" w:type="dxa"/>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72"/>
            </w:tblGrid>
            <w:tr w:rsidR="007839C6" w:rsidRPr="007839C6" w14:paraId="11A0FF87" w14:textId="77777777" w:rsidTr="007839C6">
              <w:trPr>
                <w:jc w:val="center"/>
              </w:trPr>
              <w:tc>
                <w:tcPr>
                  <w:tcW w:w="8400" w:type="dxa"/>
                  <w:tcMar>
                    <w:top w:w="150" w:type="dxa"/>
                    <w:left w:w="0" w:type="dxa"/>
                    <w:bottom w:w="150" w:type="dxa"/>
                    <w:right w:w="0" w:type="dxa"/>
                  </w:tcMar>
                  <w:vAlign w:val="center"/>
                </w:tcPr>
                <w:p w14:paraId="3EBDC7A6" w14:textId="3990E2C9" w:rsidR="007839C6" w:rsidRPr="007839C6" w:rsidRDefault="007839C6" w:rsidP="007839C6">
                  <w:pPr>
                    <w:spacing w:after="0" w:line="240" w:lineRule="auto"/>
                    <w:jc w:val="center"/>
                    <w:rPr>
                      <w:rFonts w:ascii="Times New Roman" w:eastAsia="Times New Roman" w:hAnsi="Times New Roman" w:cs="Times New Roman"/>
                      <w:sz w:val="24"/>
                      <w:szCs w:val="24"/>
                      <w:lang w:eastAsia="fr-FR"/>
                    </w:rPr>
                  </w:pPr>
                </w:p>
              </w:tc>
            </w:tr>
          </w:tbl>
          <w:p w14:paraId="687797CF" w14:textId="77777777" w:rsidR="007839C6" w:rsidRPr="007839C6" w:rsidRDefault="007839C6" w:rsidP="007839C6">
            <w:pPr>
              <w:spacing w:after="0" w:line="240" w:lineRule="auto"/>
              <w:jc w:val="center"/>
              <w:rPr>
                <w:rFonts w:ascii="Times New Roman" w:eastAsia="Times New Roman" w:hAnsi="Times New Roman" w:cs="Times New Roman"/>
                <w:sz w:val="24"/>
                <w:szCs w:val="24"/>
                <w:lang w:eastAsia="fr-FR"/>
              </w:rPr>
            </w:pPr>
          </w:p>
        </w:tc>
      </w:tr>
    </w:tbl>
    <w:p w14:paraId="7C7ABE1D" w14:textId="77777777" w:rsidR="007839C6" w:rsidRPr="007839C6" w:rsidRDefault="007839C6" w:rsidP="007839C6">
      <w:pPr>
        <w:spacing w:after="0" w:line="240" w:lineRule="auto"/>
        <w:rPr>
          <w:rFonts w:ascii="Arial" w:eastAsia="Times New Roman" w:hAnsi="Arial" w:cs="Arial"/>
          <w:vanish/>
          <w:color w:val="000000"/>
          <w:sz w:val="27"/>
          <w:szCs w:val="27"/>
          <w:lang w:eastAsia="fr-FR"/>
        </w:rPr>
      </w:pPr>
    </w:p>
    <w:tbl>
      <w:tblPr>
        <w:tblW w:w="5000" w:type="pct"/>
        <w:tblCellSpacing w:w="0" w:type="dxa"/>
        <w:tblCellMar>
          <w:left w:w="0" w:type="dxa"/>
          <w:right w:w="0" w:type="dxa"/>
        </w:tblCellMar>
        <w:tblLook w:val="04A0" w:firstRow="1" w:lastRow="0" w:firstColumn="1" w:lastColumn="0" w:noHBand="0" w:noVBand="1"/>
      </w:tblPr>
      <w:tblGrid>
        <w:gridCol w:w="1140"/>
        <w:gridCol w:w="7932"/>
      </w:tblGrid>
      <w:tr w:rsidR="007839C6" w:rsidRPr="007839C6" w14:paraId="51DF4D46" w14:textId="77777777" w:rsidTr="007839C6">
        <w:trPr>
          <w:tblCellSpacing w:w="0" w:type="dxa"/>
        </w:trPr>
        <w:tc>
          <w:tcPr>
            <w:tcW w:w="0" w:type="auto"/>
            <w:vAlign w:val="center"/>
            <w:hideMark/>
          </w:tcPr>
          <w:p w14:paraId="0BDC4C3C" w14:textId="53F03D8E" w:rsidR="007839C6" w:rsidRPr="007839C6" w:rsidRDefault="007839C6" w:rsidP="007839C6">
            <w:pPr>
              <w:spacing w:after="0" w:line="240" w:lineRule="auto"/>
              <w:rPr>
                <w:rFonts w:ascii="Times New Roman" w:eastAsia="Times New Roman" w:hAnsi="Times New Roman" w:cs="Times New Roman"/>
                <w:sz w:val="24"/>
                <w:szCs w:val="24"/>
                <w:lang w:eastAsia="fr-FR"/>
              </w:rPr>
            </w:pPr>
            <w:r w:rsidRPr="007839C6">
              <w:rPr>
                <w:rFonts w:ascii="Times New Roman" w:eastAsia="Times New Roman" w:hAnsi="Times New Roman" w:cs="Times New Roman"/>
                <w:noProof/>
                <w:sz w:val="24"/>
                <w:szCs w:val="24"/>
                <w:lang w:eastAsia="fr-FR"/>
              </w:rPr>
              <w:drawing>
                <wp:inline distT="0" distB="0" distL="0" distR="0" wp14:anchorId="0138EFEE" wp14:editId="345FA2AB">
                  <wp:extent cx="714375" cy="7143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0" w:type="auto"/>
            <w:tcMar>
              <w:top w:w="0" w:type="dxa"/>
              <w:left w:w="150" w:type="dxa"/>
              <w:bottom w:w="0" w:type="dxa"/>
              <w:right w:w="0" w:type="dxa"/>
            </w:tcMar>
            <w:vAlign w:val="center"/>
            <w:hideMark/>
          </w:tcPr>
          <w:p w14:paraId="1D654A47" w14:textId="77777777" w:rsidR="007839C6" w:rsidRPr="007839C6" w:rsidRDefault="007839C6" w:rsidP="007839C6">
            <w:pPr>
              <w:spacing w:after="0" w:line="240" w:lineRule="auto"/>
              <w:rPr>
                <w:rFonts w:ascii="Times New Roman" w:eastAsia="Times New Roman" w:hAnsi="Times New Roman" w:cs="Times New Roman"/>
                <w:sz w:val="24"/>
                <w:szCs w:val="24"/>
                <w:lang w:eastAsia="fr-FR"/>
              </w:rPr>
            </w:pPr>
            <w:r w:rsidRPr="007839C6">
              <w:rPr>
                <w:rFonts w:ascii="Times New Roman" w:eastAsia="Times New Roman" w:hAnsi="Times New Roman" w:cs="Times New Roman"/>
                <w:i/>
                <w:iCs/>
                <w:color w:val="D66B37"/>
                <w:sz w:val="23"/>
                <w:szCs w:val="23"/>
                <w:lang w:eastAsia="fr-FR"/>
              </w:rPr>
              <w:t>On peut tromper une partie du peuple tout le temps et tout le peuple une partie du temps, mais on ne peut pas tromper tout le peuple tout le temps.</w:t>
            </w:r>
            <w:r w:rsidRPr="007839C6">
              <w:rPr>
                <w:rFonts w:ascii="Times New Roman" w:eastAsia="Times New Roman" w:hAnsi="Times New Roman" w:cs="Times New Roman"/>
                <w:i/>
                <w:iCs/>
                <w:color w:val="808080"/>
                <w:sz w:val="17"/>
                <w:szCs w:val="17"/>
                <w:lang w:eastAsia="fr-FR"/>
              </w:rPr>
              <w:br/>
              <w:t>Abraham Lincoln</w:t>
            </w:r>
          </w:p>
        </w:tc>
      </w:tr>
    </w:tbl>
    <w:p w14:paraId="7EA45B34" w14:textId="77777777" w:rsidR="007839C6" w:rsidRPr="007839C6" w:rsidRDefault="007839C6" w:rsidP="007839C6">
      <w:pPr>
        <w:spacing w:after="0" w:line="240" w:lineRule="auto"/>
        <w:rPr>
          <w:rFonts w:ascii="Arial" w:eastAsia="Times New Roman" w:hAnsi="Arial" w:cs="Arial"/>
          <w:vanish/>
          <w:color w:val="000000"/>
          <w:sz w:val="27"/>
          <w:szCs w:val="27"/>
          <w:lang w:eastAsia="fr-FR"/>
        </w:rPr>
      </w:pPr>
    </w:p>
    <w:sectPr w:rsidR="007839C6" w:rsidRPr="007839C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488C6" w14:textId="77777777" w:rsidR="007839C6" w:rsidRDefault="007839C6" w:rsidP="007839C6">
      <w:pPr>
        <w:spacing w:after="0" w:line="240" w:lineRule="auto"/>
      </w:pPr>
      <w:r>
        <w:separator/>
      </w:r>
    </w:p>
  </w:endnote>
  <w:endnote w:type="continuationSeparator" w:id="0">
    <w:p w14:paraId="0DE39CB1" w14:textId="77777777" w:rsidR="007839C6" w:rsidRDefault="007839C6" w:rsidP="0078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124B" w14:textId="77777777" w:rsidR="007839C6" w:rsidRDefault="007839C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936D" w14:textId="77777777" w:rsidR="007839C6" w:rsidRDefault="007839C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596E" w14:textId="77777777" w:rsidR="007839C6" w:rsidRDefault="007839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4844" w14:textId="77777777" w:rsidR="007839C6" w:rsidRDefault="007839C6" w:rsidP="007839C6">
      <w:pPr>
        <w:spacing w:after="0" w:line="240" w:lineRule="auto"/>
      </w:pPr>
      <w:r>
        <w:separator/>
      </w:r>
    </w:p>
  </w:footnote>
  <w:footnote w:type="continuationSeparator" w:id="0">
    <w:p w14:paraId="0E2D585B" w14:textId="77777777" w:rsidR="007839C6" w:rsidRDefault="007839C6" w:rsidP="00783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97D0" w14:textId="77777777" w:rsidR="007839C6" w:rsidRDefault="007839C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4C07" w14:textId="77777777" w:rsidR="007839C6" w:rsidRDefault="007839C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1C64" w14:textId="77777777" w:rsidR="007839C6" w:rsidRDefault="007839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C1132"/>
    <w:multiLevelType w:val="multilevel"/>
    <w:tmpl w:val="9990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516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C6"/>
    <w:rsid w:val="006F0C2F"/>
    <w:rsid w:val="007839C6"/>
    <w:rsid w:val="009A0829"/>
    <w:rsid w:val="00E06E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77CD"/>
  <w15:chartTrackingRefBased/>
  <w15:docId w15:val="{71DB490B-22CA-4F33-9B07-09EF0F09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839C6"/>
    <w:rPr>
      <w:b/>
      <w:bCs/>
    </w:rPr>
  </w:style>
  <w:style w:type="character" w:styleId="Lienhypertexte">
    <w:name w:val="Hyperlink"/>
    <w:basedOn w:val="Policepardfaut"/>
    <w:uiPriority w:val="99"/>
    <w:semiHidden/>
    <w:unhideWhenUsed/>
    <w:rsid w:val="007839C6"/>
    <w:rPr>
      <w:color w:val="0000FF"/>
      <w:u w:val="single"/>
    </w:rPr>
  </w:style>
  <w:style w:type="character" w:styleId="Accentuation">
    <w:name w:val="Emphasis"/>
    <w:basedOn w:val="Policepardfaut"/>
    <w:uiPriority w:val="20"/>
    <w:qFormat/>
    <w:rsid w:val="007839C6"/>
    <w:rPr>
      <w:i/>
      <w:iCs/>
    </w:rPr>
  </w:style>
  <w:style w:type="paragraph" w:styleId="NormalWeb">
    <w:name w:val="Normal (Web)"/>
    <w:basedOn w:val="Normal"/>
    <w:uiPriority w:val="99"/>
    <w:semiHidden/>
    <w:unhideWhenUsed/>
    <w:rsid w:val="007839C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839C6"/>
    <w:pPr>
      <w:tabs>
        <w:tab w:val="center" w:pos="4536"/>
        <w:tab w:val="right" w:pos="9072"/>
      </w:tabs>
      <w:spacing w:after="0" w:line="240" w:lineRule="auto"/>
    </w:pPr>
  </w:style>
  <w:style w:type="character" w:customStyle="1" w:styleId="En-tteCar">
    <w:name w:val="En-tête Car"/>
    <w:basedOn w:val="Policepardfaut"/>
    <w:link w:val="En-tte"/>
    <w:uiPriority w:val="99"/>
    <w:rsid w:val="007839C6"/>
  </w:style>
  <w:style w:type="paragraph" w:styleId="Pieddepage">
    <w:name w:val="footer"/>
    <w:basedOn w:val="Normal"/>
    <w:link w:val="PieddepageCar"/>
    <w:uiPriority w:val="99"/>
    <w:unhideWhenUsed/>
    <w:rsid w:val="007839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3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861967">
      <w:bodyDiv w:val="1"/>
      <w:marLeft w:val="0"/>
      <w:marRight w:val="0"/>
      <w:marTop w:val="0"/>
      <w:marBottom w:val="0"/>
      <w:divBdr>
        <w:top w:val="none" w:sz="0" w:space="0" w:color="auto"/>
        <w:left w:val="none" w:sz="0" w:space="0" w:color="auto"/>
        <w:bottom w:val="none" w:sz="0" w:space="0" w:color="auto"/>
        <w:right w:val="none" w:sz="0" w:space="0" w:color="auto"/>
      </w:divBdr>
      <w:divsChild>
        <w:div w:id="1128356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486</Words>
  <Characters>2679</Characters>
  <Application>Microsoft Office Word</Application>
  <DocSecurity>0</DocSecurity>
  <Lines>22</Lines>
  <Paragraphs>6</Paragraphs>
  <ScaleCrop>false</ScaleCrop>
  <Company>HSBC</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LEMENAGER</dc:creator>
  <cp:keywords/>
  <dc:description/>
  <cp:lastModifiedBy>Sandrine LEMENAGER</cp:lastModifiedBy>
  <cp:revision>2</cp:revision>
  <dcterms:created xsi:type="dcterms:W3CDTF">2023-12-01T07:58:00Z</dcterms:created>
  <dcterms:modified xsi:type="dcterms:W3CDTF">2023-12-01T08:02:00Z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7d40fb-554b-4dd3-bbeb-f408eac3a163_Enabled">
    <vt:lpwstr>true</vt:lpwstr>
  </property>
  <property fmtid="{D5CDD505-2E9C-101B-9397-08002B2CF9AE}" pid="3" name="MSIP_Label_d77d40fb-554b-4dd3-bbeb-f408eac3a163_SetDate">
    <vt:lpwstr>2023-12-01T08:01:48Z</vt:lpwstr>
  </property>
  <property fmtid="{D5CDD505-2E9C-101B-9397-08002B2CF9AE}" pid="4" name="MSIP_Label_d77d40fb-554b-4dd3-bbeb-f408eac3a163_Method">
    <vt:lpwstr>Privileged</vt:lpwstr>
  </property>
  <property fmtid="{D5CDD505-2E9C-101B-9397-08002B2CF9AE}" pid="5" name="MSIP_Label_d77d40fb-554b-4dd3-bbeb-f408eac3a163_Name">
    <vt:lpwstr>CFRNOTAPP</vt:lpwstr>
  </property>
  <property fmtid="{D5CDD505-2E9C-101B-9397-08002B2CF9AE}" pid="6" name="MSIP_Label_d77d40fb-554b-4dd3-bbeb-f408eac3a163_SiteId">
    <vt:lpwstr>e0fd434d-ba64-497b-90d2-859c472e1a92</vt:lpwstr>
  </property>
  <property fmtid="{D5CDD505-2E9C-101B-9397-08002B2CF9AE}" pid="7" name="MSIP_Label_d77d40fb-554b-4dd3-bbeb-f408eac3a163_ActionId">
    <vt:lpwstr>bcf86a45-9596-4e36-bd7a-c1ffb50b16e4</vt:lpwstr>
  </property>
  <property fmtid="{D5CDD505-2E9C-101B-9397-08002B2CF9AE}" pid="8" name="MSIP_Label_d77d40fb-554b-4dd3-bbeb-f408eac3a163_ContentBits">
    <vt:lpwstr>0</vt:lpwstr>
  </property>
</Properties>
</file>